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6088A" w14:textId="77777777" w:rsidR="00C97B55" w:rsidRPr="00BE142F" w:rsidRDefault="00DC62B0" w:rsidP="00B07CFB">
      <w:pPr>
        <w:pStyle w:val="Nzov"/>
        <w:spacing w:before="280"/>
      </w:pPr>
      <w:r w:rsidRPr="00DC62B0">
        <w:t>Mapping Postgraduate Research Trends in the Sociology of Translation in Iran</w:t>
      </w:r>
    </w:p>
    <w:p w14:paraId="44BC142C" w14:textId="77777777" w:rsidR="00990BE4" w:rsidRDefault="00DC62B0" w:rsidP="00921FC3">
      <w:pPr>
        <w:pStyle w:val="Podtitul"/>
        <w:rPr>
          <w:b w:val="0"/>
          <w:bCs w:val="0"/>
          <w:lang w:val="en-GB"/>
        </w:rPr>
      </w:pPr>
      <w:r w:rsidRPr="00DC62B0">
        <w:rPr>
          <w:b w:val="0"/>
          <w:bCs w:val="0"/>
          <w:lang w:val="en-GB"/>
        </w:rPr>
        <w:t>Hossein Bahri</w:t>
      </w:r>
      <w:r w:rsidR="006656A1">
        <w:rPr>
          <w:b w:val="0"/>
          <w:bCs w:val="0"/>
          <w:lang w:val="en-GB"/>
        </w:rPr>
        <w:t xml:space="preserve">, </w:t>
      </w:r>
      <w:proofErr w:type="spellStart"/>
      <w:r w:rsidR="006656A1">
        <w:rPr>
          <w:b w:val="0"/>
          <w:bCs w:val="0"/>
          <w:lang w:val="en-GB"/>
        </w:rPr>
        <w:t>Kharazmi</w:t>
      </w:r>
      <w:proofErr w:type="spellEnd"/>
      <w:r w:rsidR="006656A1">
        <w:rPr>
          <w:b w:val="0"/>
          <w:bCs w:val="0"/>
          <w:lang w:val="en-GB"/>
        </w:rPr>
        <w:t xml:space="preserve"> University</w:t>
      </w:r>
    </w:p>
    <w:p w14:paraId="5D1EA2D0" w14:textId="199A04EF" w:rsidR="00B2700E" w:rsidRPr="00BE142F" w:rsidRDefault="00DC62B0" w:rsidP="00921FC3">
      <w:pPr>
        <w:pStyle w:val="Podtitul"/>
        <w:rPr>
          <w:b w:val="0"/>
          <w:bCs w:val="0"/>
          <w:lang w:val="en-GB"/>
        </w:rPr>
      </w:pPr>
      <w:r w:rsidRPr="00DC62B0">
        <w:rPr>
          <w:b w:val="0"/>
          <w:bCs w:val="0"/>
          <w:lang w:val="en-GB"/>
        </w:rPr>
        <w:t>Mahvash Gholami</w:t>
      </w:r>
      <w:r>
        <w:rPr>
          <w:b w:val="0"/>
          <w:bCs w:val="0"/>
          <w:lang w:val="en-GB"/>
        </w:rPr>
        <w:t xml:space="preserve">, </w:t>
      </w:r>
      <w:proofErr w:type="spellStart"/>
      <w:r>
        <w:rPr>
          <w:b w:val="0"/>
          <w:bCs w:val="0"/>
          <w:lang w:val="en-GB"/>
        </w:rPr>
        <w:t>Kharazmi</w:t>
      </w:r>
      <w:proofErr w:type="spellEnd"/>
      <w:r>
        <w:rPr>
          <w:b w:val="0"/>
          <w:bCs w:val="0"/>
          <w:lang w:val="en-GB"/>
        </w:rPr>
        <w:t xml:space="preserve"> University</w:t>
      </w:r>
    </w:p>
    <w:p w14:paraId="49FE7503" w14:textId="77777777" w:rsidR="00C97B55" w:rsidRPr="00B2700E" w:rsidRDefault="00C97B55" w:rsidP="003A48BD">
      <w:pPr>
        <w:pStyle w:val="abstract"/>
        <w:spacing w:before="560"/>
        <w:rPr>
          <w:b/>
          <w:bCs/>
        </w:rPr>
      </w:pPr>
      <w:r w:rsidRPr="00B2700E">
        <w:rPr>
          <w:b/>
          <w:bCs/>
        </w:rPr>
        <w:t>Abstract</w:t>
      </w:r>
    </w:p>
    <w:p w14:paraId="27EDFB58" w14:textId="5712EE90" w:rsidR="00EA31FD" w:rsidRDefault="00DC62B0" w:rsidP="00123CBC">
      <w:pPr>
        <w:pStyle w:val="abstract"/>
      </w:pPr>
      <w:r w:rsidRPr="00DC62B0">
        <w:t xml:space="preserve">Using data from abstracts and methodology sections of a total of 48 MA theses and PhD dissertations on the sociology of translation in Iran, this study renders a map of the 2009–2022 postgraduate research trends in the field. The researchers focused on, among other issues, the frequency of investigated areas and their sub-divisions as well as the most frequently used translation theories and models by the researchers. The findings of the study suggested that while the number of studies on the subject was relatively smaller than other investigated translation areas in the country, research on the sociology of translation remained popular over the 14-year period, witnessing a marked increase in 2019 and then followed by a sharp decrease presumably due to the Covid-19 pandemic. Furthermore, </w:t>
      </w:r>
      <w:proofErr w:type="spellStart"/>
      <w:r w:rsidRPr="00DC62B0">
        <w:t>Bourdieusian</w:t>
      </w:r>
      <w:proofErr w:type="spellEnd"/>
      <w:r w:rsidRPr="00DC62B0">
        <w:t xml:space="preserve"> theoretical frameworks and context-oriented research methodologies were vastly employed in the studies. The authors have concluded that the subject is still unmapped and open to many avenues for investigation in the Iranian context. Implications of the findings were discussed.</w:t>
      </w:r>
      <w:r w:rsidR="00BE142F">
        <w:t xml:space="preserve"> </w:t>
      </w:r>
      <w:r w:rsidR="00E93FA4">
        <w:t>Finally, a</w:t>
      </w:r>
      <w:r w:rsidR="00E93FA4" w:rsidRPr="00E93FA4">
        <w:t xml:space="preserve"> tentative map of postgraduate research on the sociology of translation in Iran was proposed.</w:t>
      </w:r>
      <w:r w:rsidR="00C97B55" w:rsidRPr="00BE142F">
        <w:t xml:space="preserve"> </w:t>
      </w:r>
    </w:p>
    <w:p w14:paraId="1B39CE4B" w14:textId="7C9C9061" w:rsidR="00B62FE9" w:rsidRPr="00123CBC" w:rsidRDefault="00EA31FD" w:rsidP="00123CBC">
      <w:pPr>
        <w:pStyle w:val="abstract"/>
        <w:spacing w:before="280"/>
      </w:pPr>
      <w:r w:rsidRPr="00E93FA4">
        <w:rPr>
          <w:b/>
          <w:bCs/>
        </w:rPr>
        <w:t>Keywords:</w:t>
      </w:r>
      <w:r>
        <w:t xml:space="preserve"> </w:t>
      </w:r>
      <w:r w:rsidRPr="00EA31FD">
        <w:t xml:space="preserve">context-oriented research; mapping; </w:t>
      </w:r>
      <w:r w:rsidR="00E93FA4">
        <w:t xml:space="preserve">postgraduate; </w:t>
      </w:r>
      <w:r w:rsidRPr="00EA31FD">
        <w:t>research trend; Bourdieu; translation sociology</w:t>
      </w:r>
    </w:p>
    <w:p w14:paraId="13ABD6D6" w14:textId="6D9E4400" w:rsidR="00C97B55" w:rsidRPr="00BE142F" w:rsidRDefault="00B62FE9" w:rsidP="00123CBC">
      <w:pPr>
        <w:pStyle w:val="Nadpis1"/>
        <w:numPr>
          <w:ilvl w:val="0"/>
          <w:numId w:val="1"/>
        </w:numPr>
        <w:spacing w:before="560" w:after="280"/>
        <w:ind w:left="425" w:hanging="425"/>
      </w:pPr>
      <w:r>
        <w:t>Introduction</w:t>
      </w:r>
    </w:p>
    <w:p w14:paraId="425D7D13" w14:textId="56BFFA7A" w:rsidR="00B62FE9" w:rsidRDefault="00B62FE9" w:rsidP="00B2700E">
      <w:pPr>
        <w:pStyle w:val="Nadpis2"/>
        <w:keepNext w:val="0"/>
        <w:contextualSpacing/>
        <w:jc w:val="both"/>
        <w:rPr>
          <w:bCs w:val="0"/>
          <w:i w:val="0"/>
        </w:rPr>
      </w:pPr>
      <w:r w:rsidRPr="00B62FE9">
        <w:rPr>
          <w:bCs w:val="0"/>
          <w:i w:val="0"/>
        </w:rPr>
        <w:t xml:space="preserve">The development of a </w:t>
      </w:r>
      <w:r w:rsidR="00B2700E">
        <w:rPr>
          <w:bCs w:val="0"/>
          <w:i w:val="0"/>
        </w:rPr>
        <w:t>s</w:t>
      </w:r>
      <w:r w:rsidRPr="00B62FE9">
        <w:rPr>
          <w:bCs w:val="0"/>
          <w:i w:val="0"/>
        </w:rPr>
        <w:t>ociology of translation (</w:t>
      </w:r>
      <w:proofErr w:type="spellStart"/>
      <w:r w:rsidRPr="00B62FE9">
        <w:rPr>
          <w:bCs w:val="0"/>
          <w:i w:val="0"/>
        </w:rPr>
        <w:t>S</w:t>
      </w:r>
      <w:r w:rsidR="003748BF">
        <w:rPr>
          <w:bCs w:val="0"/>
          <w:i w:val="0"/>
        </w:rPr>
        <w:t>o</w:t>
      </w:r>
      <w:r w:rsidRPr="00B62FE9">
        <w:rPr>
          <w:bCs w:val="0"/>
          <w:i w:val="0"/>
        </w:rPr>
        <w:t>T</w:t>
      </w:r>
      <w:proofErr w:type="spellEnd"/>
      <w:r w:rsidRPr="00B62FE9">
        <w:rPr>
          <w:bCs w:val="0"/>
          <w:i w:val="0"/>
        </w:rPr>
        <w:t>) is primarily a twenty-first-century phenomenon. Scholars in the field of translation studies took an interest in the sociological aspects of translation since early 2000s (</w:t>
      </w:r>
      <w:r w:rsidR="002113D5" w:rsidRPr="00B62FE9">
        <w:rPr>
          <w:bCs w:val="0"/>
          <w:i w:val="0"/>
        </w:rPr>
        <w:t>Wolf 2005</w:t>
      </w:r>
      <w:r w:rsidR="002113D5">
        <w:rPr>
          <w:bCs w:val="0"/>
          <w:i w:val="0"/>
        </w:rPr>
        <w:t xml:space="preserve">; </w:t>
      </w:r>
      <w:r w:rsidR="002113D5" w:rsidRPr="00B62FE9">
        <w:rPr>
          <w:bCs w:val="0"/>
          <w:i w:val="0"/>
        </w:rPr>
        <w:t>Pym 2006; Snell-Hornby 2006;</w:t>
      </w:r>
      <w:r w:rsidR="002113D5" w:rsidRPr="002113D5">
        <w:rPr>
          <w:bCs w:val="0"/>
          <w:i w:val="0"/>
        </w:rPr>
        <w:t xml:space="preserve"> </w:t>
      </w:r>
      <w:r w:rsidR="002113D5" w:rsidRPr="00B62FE9">
        <w:rPr>
          <w:bCs w:val="0"/>
          <w:i w:val="0"/>
        </w:rPr>
        <w:t xml:space="preserve">Heilbron </w:t>
      </w:r>
      <w:r w:rsidR="002113D5">
        <w:rPr>
          <w:bCs w:val="0"/>
          <w:i w:val="0"/>
        </w:rPr>
        <w:t>&amp;</w:t>
      </w:r>
      <w:r w:rsidR="002113D5" w:rsidRPr="00B62FE9">
        <w:rPr>
          <w:bCs w:val="0"/>
          <w:i w:val="0"/>
        </w:rPr>
        <w:t xml:space="preserve"> Sapiro 2007;</w:t>
      </w:r>
      <w:r w:rsidR="002113D5" w:rsidRPr="002113D5">
        <w:rPr>
          <w:bCs w:val="0"/>
          <w:i w:val="0"/>
        </w:rPr>
        <w:t xml:space="preserve"> </w:t>
      </w:r>
      <w:r w:rsidR="002113D5" w:rsidRPr="00B62FE9">
        <w:rPr>
          <w:bCs w:val="0"/>
          <w:i w:val="0"/>
        </w:rPr>
        <w:t>Chesterman 2009;</w:t>
      </w:r>
      <w:r w:rsidR="002113D5">
        <w:rPr>
          <w:bCs w:val="0"/>
          <w:i w:val="0"/>
        </w:rPr>
        <w:t xml:space="preserve"> </w:t>
      </w:r>
      <w:r w:rsidR="00886DB6" w:rsidRPr="00B62FE9">
        <w:rPr>
          <w:bCs w:val="0"/>
          <w:i w:val="0"/>
        </w:rPr>
        <w:t>Baker 2010</w:t>
      </w:r>
      <w:r w:rsidRPr="00B62FE9">
        <w:rPr>
          <w:bCs w:val="0"/>
          <w:i w:val="0"/>
        </w:rPr>
        <w:t xml:space="preserve">). A cursory search of translation </w:t>
      </w:r>
      <w:r w:rsidR="008B6FF7">
        <w:rPr>
          <w:bCs w:val="0"/>
          <w:i w:val="0"/>
        </w:rPr>
        <w:t>programme</w:t>
      </w:r>
      <w:r w:rsidRPr="00B62FE9">
        <w:rPr>
          <w:bCs w:val="0"/>
          <w:i w:val="0"/>
        </w:rPr>
        <w:t xml:space="preserve">s on the </w:t>
      </w:r>
      <w:r w:rsidR="00535E0F">
        <w:rPr>
          <w:bCs w:val="0"/>
          <w:i w:val="0"/>
        </w:rPr>
        <w:t>i</w:t>
      </w:r>
      <w:r w:rsidRPr="00B62FE9">
        <w:rPr>
          <w:bCs w:val="0"/>
          <w:i w:val="0"/>
        </w:rPr>
        <w:t xml:space="preserve">nternet indicates that studying the </w:t>
      </w:r>
      <w:proofErr w:type="spellStart"/>
      <w:r w:rsidRPr="00B62FE9">
        <w:rPr>
          <w:bCs w:val="0"/>
          <w:i w:val="0"/>
        </w:rPr>
        <w:t>S</w:t>
      </w:r>
      <w:r w:rsidR="003748BF">
        <w:rPr>
          <w:bCs w:val="0"/>
          <w:i w:val="0"/>
        </w:rPr>
        <w:t>o</w:t>
      </w:r>
      <w:r w:rsidRPr="00B62FE9">
        <w:rPr>
          <w:bCs w:val="0"/>
          <w:i w:val="0"/>
        </w:rPr>
        <w:t>T</w:t>
      </w:r>
      <w:proofErr w:type="spellEnd"/>
      <w:r w:rsidRPr="00B62FE9">
        <w:rPr>
          <w:bCs w:val="0"/>
          <w:i w:val="0"/>
        </w:rPr>
        <w:t xml:space="preserve"> has gained momentum in educational institutions around the world within the last ten years.</w:t>
      </w:r>
    </w:p>
    <w:p w14:paraId="179417A0" w14:textId="571736AF" w:rsidR="00B62FE9" w:rsidRPr="00B62FE9" w:rsidRDefault="00B62FE9" w:rsidP="0034492D">
      <w:pPr>
        <w:pStyle w:val="Nadpis2"/>
        <w:keepNext w:val="0"/>
        <w:ind w:firstLine="708"/>
        <w:contextualSpacing/>
        <w:jc w:val="both"/>
        <w:rPr>
          <w:bCs w:val="0"/>
          <w:i w:val="0"/>
        </w:rPr>
      </w:pPr>
      <w:r w:rsidRPr="00B62FE9">
        <w:rPr>
          <w:bCs w:val="0"/>
          <w:i w:val="0"/>
        </w:rPr>
        <w:t xml:space="preserve">Simultaneous with what happened in other regions of the world, the same period witnessed the burgeoning of translation departments and student intake in Iran. This, in turn, has contributed to a surge in postgraduate translation </w:t>
      </w:r>
      <w:r w:rsidR="008B6FF7">
        <w:rPr>
          <w:bCs w:val="0"/>
          <w:i w:val="0"/>
        </w:rPr>
        <w:t>programme</w:t>
      </w:r>
      <w:r w:rsidRPr="00B62FE9">
        <w:rPr>
          <w:bCs w:val="0"/>
          <w:i w:val="0"/>
        </w:rPr>
        <w:t xml:space="preserve">s in Iranian academic settings in general and in studying the </w:t>
      </w:r>
      <w:proofErr w:type="spellStart"/>
      <w:r w:rsidRPr="00B62FE9">
        <w:rPr>
          <w:bCs w:val="0"/>
          <w:i w:val="0"/>
        </w:rPr>
        <w:t>S</w:t>
      </w:r>
      <w:r w:rsidR="003748BF">
        <w:rPr>
          <w:bCs w:val="0"/>
          <w:i w:val="0"/>
        </w:rPr>
        <w:t>o</w:t>
      </w:r>
      <w:r w:rsidRPr="00B62FE9">
        <w:rPr>
          <w:bCs w:val="0"/>
          <w:i w:val="0"/>
        </w:rPr>
        <w:t>T</w:t>
      </w:r>
      <w:proofErr w:type="spellEnd"/>
      <w:r w:rsidRPr="00B62FE9">
        <w:rPr>
          <w:bCs w:val="0"/>
          <w:i w:val="0"/>
        </w:rPr>
        <w:t xml:space="preserve"> in particular.</w:t>
      </w:r>
    </w:p>
    <w:p w14:paraId="275B00CF" w14:textId="1041E4A1" w:rsidR="00B62FE9" w:rsidRPr="00B62FE9" w:rsidRDefault="00B62FE9" w:rsidP="0034492D">
      <w:pPr>
        <w:pStyle w:val="Nadpis2"/>
        <w:keepNext w:val="0"/>
        <w:ind w:firstLine="708"/>
        <w:contextualSpacing/>
        <w:jc w:val="both"/>
        <w:rPr>
          <w:bCs w:val="0"/>
          <w:i w:val="0"/>
        </w:rPr>
      </w:pPr>
      <w:r w:rsidRPr="00B62FE9">
        <w:rPr>
          <w:bCs w:val="0"/>
          <w:i w:val="0"/>
        </w:rPr>
        <w:t xml:space="preserve">Meanwhile, a major cause for concern among many Iranian postgraduate translation students has been identifying the gaps in the field to choose appropriate research topics. One serious problem is the scarcity of up-to-date information about research on the </w:t>
      </w:r>
      <w:proofErr w:type="spellStart"/>
      <w:r w:rsidRPr="00B62FE9">
        <w:rPr>
          <w:bCs w:val="0"/>
          <w:i w:val="0"/>
        </w:rPr>
        <w:t>S</w:t>
      </w:r>
      <w:r w:rsidR="003748BF">
        <w:rPr>
          <w:bCs w:val="0"/>
          <w:i w:val="0"/>
        </w:rPr>
        <w:t>o</w:t>
      </w:r>
      <w:r w:rsidRPr="00B62FE9">
        <w:rPr>
          <w:bCs w:val="0"/>
          <w:i w:val="0"/>
        </w:rPr>
        <w:t>T</w:t>
      </w:r>
      <w:proofErr w:type="spellEnd"/>
      <w:r w:rsidRPr="00B62FE9">
        <w:rPr>
          <w:bCs w:val="0"/>
          <w:i w:val="0"/>
        </w:rPr>
        <w:t xml:space="preserve"> in Iran. The findings of earlier studies also highlight a dearth of systematic research into the </w:t>
      </w:r>
      <w:proofErr w:type="spellStart"/>
      <w:r w:rsidRPr="00B62FE9">
        <w:rPr>
          <w:bCs w:val="0"/>
          <w:i w:val="0"/>
        </w:rPr>
        <w:t>S</w:t>
      </w:r>
      <w:r w:rsidR="003748BF">
        <w:rPr>
          <w:bCs w:val="0"/>
          <w:i w:val="0"/>
        </w:rPr>
        <w:t>o</w:t>
      </w:r>
      <w:r w:rsidRPr="00B62FE9">
        <w:rPr>
          <w:bCs w:val="0"/>
          <w:i w:val="0"/>
        </w:rPr>
        <w:t>T</w:t>
      </w:r>
      <w:proofErr w:type="spellEnd"/>
      <w:r w:rsidRPr="00B62FE9">
        <w:rPr>
          <w:bCs w:val="0"/>
          <w:i w:val="0"/>
        </w:rPr>
        <w:t xml:space="preserve"> in Iranian settings (</w:t>
      </w:r>
      <w:proofErr w:type="spellStart"/>
      <w:r w:rsidRPr="00B62FE9">
        <w:rPr>
          <w:bCs w:val="0"/>
          <w:i w:val="0"/>
        </w:rPr>
        <w:t>Nouraey</w:t>
      </w:r>
      <w:proofErr w:type="spellEnd"/>
      <w:r w:rsidRPr="00B62FE9">
        <w:rPr>
          <w:bCs w:val="0"/>
          <w:i w:val="0"/>
        </w:rPr>
        <w:t xml:space="preserve"> </w:t>
      </w:r>
      <w:r w:rsidR="00AA6369">
        <w:rPr>
          <w:bCs w:val="0"/>
          <w:i w:val="0"/>
        </w:rPr>
        <w:t>&amp;</w:t>
      </w:r>
      <w:r w:rsidRPr="00B62FE9">
        <w:rPr>
          <w:bCs w:val="0"/>
          <w:i w:val="0"/>
        </w:rPr>
        <w:t xml:space="preserve"> </w:t>
      </w:r>
      <w:proofErr w:type="spellStart"/>
      <w:r w:rsidRPr="00B62FE9">
        <w:rPr>
          <w:bCs w:val="0"/>
          <w:i w:val="0"/>
        </w:rPr>
        <w:t>Karimnia</w:t>
      </w:r>
      <w:proofErr w:type="spellEnd"/>
      <w:r w:rsidRPr="00B62FE9">
        <w:rPr>
          <w:bCs w:val="0"/>
          <w:i w:val="0"/>
        </w:rPr>
        <w:t xml:space="preserve"> 2012</w:t>
      </w:r>
      <w:r w:rsidR="00AA6369">
        <w:rPr>
          <w:bCs w:val="0"/>
          <w:i w:val="0"/>
        </w:rPr>
        <w:t xml:space="preserve">, </w:t>
      </w:r>
      <w:r w:rsidRPr="00B62FE9">
        <w:rPr>
          <w:bCs w:val="0"/>
          <w:i w:val="0"/>
        </w:rPr>
        <w:t xml:space="preserve">2015; </w:t>
      </w:r>
      <w:proofErr w:type="spellStart"/>
      <w:r w:rsidRPr="00B62FE9">
        <w:rPr>
          <w:bCs w:val="0"/>
          <w:i w:val="0"/>
        </w:rPr>
        <w:t>Karimnia</w:t>
      </w:r>
      <w:proofErr w:type="spellEnd"/>
      <w:r w:rsidRPr="00B62FE9">
        <w:rPr>
          <w:bCs w:val="0"/>
          <w:i w:val="0"/>
        </w:rPr>
        <w:t xml:space="preserve"> </w:t>
      </w:r>
      <w:r w:rsidR="009E7A8E">
        <w:rPr>
          <w:bCs w:val="0"/>
          <w:i w:val="0"/>
        </w:rPr>
        <w:t>&amp;</w:t>
      </w:r>
      <w:r w:rsidRPr="00B62FE9">
        <w:rPr>
          <w:bCs w:val="0"/>
          <w:i w:val="0"/>
        </w:rPr>
        <w:t xml:space="preserve"> </w:t>
      </w:r>
      <w:proofErr w:type="spellStart"/>
      <w:r w:rsidRPr="00B62FE9">
        <w:rPr>
          <w:bCs w:val="0"/>
          <w:i w:val="0"/>
        </w:rPr>
        <w:t>Nouraey</w:t>
      </w:r>
      <w:proofErr w:type="spellEnd"/>
      <w:r w:rsidRPr="00B62FE9">
        <w:rPr>
          <w:bCs w:val="0"/>
          <w:i w:val="0"/>
        </w:rPr>
        <w:t xml:space="preserve"> 2013; </w:t>
      </w:r>
      <w:proofErr w:type="spellStart"/>
      <w:r w:rsidRPr="00B62FE9">
        <w:rPr>
          <w:bCs w:val="0"/>
          <w:i w:val="0"/>
        </w:rPr>
        <w:t>Karimnia</w:t>
      </w:r>
      <w:proofErr w:type="spellEnd"/>
      <w:r w:rsidRPr="00B62FE9">
        <w:rPr>
          <w:bCs w:val="0"/>
          <w:i w:val="0"/>
        </w:rPr>
        <w:t xml:space="preserve"> </w:t>
      </w:r>
      <w:r w:rsidR="009E7A8E">
        <w:rPr>
          <w:bCs w:val="0"/>
          <w:i w:val="0"/>
        </w:rPr>
        <w:t>&amp;</w:t>
      </w:r>
      <w:r w:rsidRPr="00B62FE9">
        <w:rPr>
          <w:bCs w:val="0"/>
          <w:i w:val="0"/>
        </w:rPr>
        <w:t xml:space="preserve"> </w:t>
      </w:r>
      <w:proofErr w:type="spellStart"/>
      <w:r w:rsidRPr="00B62FE9">
        <w:rPr>
          <w:bCs w:val="0"/>
          <w:i w:val="0"/>
        </w:rPr>
        <w:t>Aboutalebi</w:t>
      </w:r>
      <w:proofErr w:type="spellEnd"/>
      <w:r w:rsidRPr="00B62FE9">
        <w:rPr>
          <w:bCs w:val="0"/>
          <w:i w:val="0"/>
        </w:rPr>
        <w:t xml:space="preserve"> 2014; </w:t>
      </w:r>
      <w:proofErr w:type="spellStart"/>
      <w:r w:rsidRPr="00B62FE9">
        <w:rPr>
          <w:bCs w:val="0"/>
          <w:i w:val="0"/>
        </w:rPr>
        <w:t>Sanatifar</w:t>
      </w:r>
      <w:proofErr w:type="spellEnd"/>
      <w:r w:rsidRPr="00B62FE9">
        <w:rPr>
          <w:bCs w:val="0"/>
          <w:i w:val="0"/>
        </w:rPr>
        <w:t xml:space="preserve"> 2019). The current researchers’ personal communications with translation students attest to the fact that many postgraduate students have fuzzy pictures about the topics and areas covered in the field. Additionally, finding relevant theoretical frameworks and </w:t>
      </w:r>
      <w:r w:rsidRPr="00B62FE9">
        <w:rPr>
          <w:bCs w:val="0"/>
          <w:i w:val="0"/>
        </w:rPr>
        <w:lastRenderedPageBreak/>
        <w:t>choosing appropriate research models are among other main obstacles that postgraduate students must overcome in their projects.</w:t>
      </w:r>
    </w:p>
    <w:p w14:paraId="0F2C5A17" w14:textId="3388D3DC" w:rsidR="00AD4832" w:rsidRPr="00AD4832" w:rsidRDefault="00B62FE9" w:rsidP="00AD4832">
      <w:pPr>
        <w:pStyle w:val="Nadpis2"/>
        <w:keepNext w:val="0"/>
        <w:spacing w:before="0" w:after="160"/>
        <w:ind w:firstLine="709"/>
        <w:jc w:val="both"/>
        <w:rPr>
          <w:bCs w:val="0"/>
          <w:i w:val="0"/>
        </w:rPr>
      </w:pPr>
      <w:r w:rsidRPr="00B62FE9">
        <w:rPr>
          <w:bCs w:val="0"/>
          <w:i w:val="0"/>
        </w:rPr>
        <w:t xml:space="preserve">To find the </w:t>
      </w:r>
      <w:r w:rsidR="009413AF">
        <w:rPr>
          <w:bCs w:val="0"/>
          <w:i w:val="0"/>
        </w:rPr>
        <w:t>solutions</w:t>
      </w:r>
      <w:r w:rsidRPr="00B62FE9">
        <w:rPr>
          <w:bCs w:val="0"/>
          <w:i w:val="0"/>
        </w:rPr>
        <w:t xml:space="preserve"> to the mentioned problems, this study aims to investigate major areas and sub-branches of the </w:t>
      </w:r>
      <w:proofErr w:type="spellStart"/>
      <w:r w:rsidRPr="00B62FE9">
        <w:rPr>
          <w:bCs w:val="0"/>
          <w:i w:val="0"/>
        </w:rPr>
        <w:t>S</w:t>
      </w:r>
      <w:r w:rsidR="003748BF">
        <w:rPr>
          <w:bCs w:val="0"/>
          <w:i w:val="0"/>
        </w:rPr>
        <w:t>o</w:t>
      </w:r>
      <w:r w:rsidRPr="00B62FE9">
        <w:rPr>
          <w:bCs w:val="0"/>
          <w:i w:val="0"/>
        </w:rPr>
        <w:t>T</w:t>
      </w:r>
      <w:proofErr w:type="spellEnd"/>
      <w:r w:rsidRPr="00B62FE9">
        <w:rPr>
          <w:bCs w:val="0"/>
          <w:i w:val="0"/>
        </w:rPr>
        <w:t xml:space="preserve"> as well as the frequency of the areas that were researched by Iranian postgraduate students. Moreover, the theoretical frameworks and models that were used by the researchers should be identified. Finally, contextual information about respective educational institutions where the studies had been carried out was required to interpret the findings. In line with these objectives, the following research questions were raised:</w:t>
      </w:r>
    </w:p>
    <w:p w14:paraId="7C93E6F1" w14:textId="7937390D" w:rsidR="002D290A" w:rsidRDefault="00B62FE9" w:rsidP="00AD4832">
      <w:pPr>
        <w:pStyle w:val="Nadpis2"/>
        <w:keepNext w:val="0"/>
        <w:numPr>
          <w:ilvl w:val="0"/>
          <w:numId w:val="2"/>
        </w:numPr>
        <w:spacing w:before="160" w:after="0"/>
        <w:ind w:left="709" w:hanging="425"/>
        <w:jc w:val="both"/>
        <w:rPr>
          <w:bCs w:val="0"/>
          <w:i w:val="0"/>
        </w:rPr>
      </w:pPr>
      <w:r w:rsidRPr="00B62FE9">
        <w:rPr>
          <w:bCs w:val="0"/>
          <w:i w:val="0"/>
        </w:rPr>
        <w:t>Which areas and sub-branc</w:t>
      </w:r>
      <w:r w:rsidR="00BB5503">
        <w:rPr>
          <w:bCs w:val="0"/>
          <w:i w:val="0"/>
        </w:rPr>
        <w:t>h</w:t>
      </w:r>
      <w:r w:rsidRPr="00B62FE9">
        <w:rPr>
          <w:bCs w:val="0"/>
          <w:i w:val="0"/>
        </w:rPr>
        <w:t xml:space="preserve">es of the </w:t>
      </w:r>
      <w:proofErr w:type="spellStart"/>
      <w:r w:rsidRPr="00B62FE9">
        <w:rPr>
          <w:bCs w:val="0"/>
          <w:i w:val="0"/>
        </w:rPr>
        <w:t>S</w:t>
      </w:r>
      <w:r w:rsidR="003748BF">
        <w:rPr>
          <w:bCs w:val="0"/>
          <w:i w:val="0"/>
        </w:rPr>
        <w:t>o</w:t>
      </w:r>
      <w:r w:rsidRPr="00B62FE9">
        <w:rPr>
          <w:bCs w:val="0"/>
          <w:i w:val="0"/>
        </w:rPr>
        <w:t>T</w:t>
      </w:r>
      <w:proofErr w:type="spellEnd"/>
      <w:r w:rsidRPr="00B62FE9">
        <w:rPr>
          <w:bCs w:val="0"/>
          <w:i w:val="0"/>
        </w:rPr>
        <w:t xml:space="preserve"> were investigated by the Iranian postgraduate translation researchers?</w:t>
      </w:r>
    </w:p>
    <w:p w14:paraId="17AD9217" w14:textId="641A63A2" w:rsidR="002D290A" w:rsidRDefault="00B62FE9" w:rsidP="002D290A">
      <w:pPr>
        <w:pStyle w:val="Nadpis2"/>
        <w:keepNext w:val="0"/>
        <w:numPr>
          <w:ilvl w:val="0"/>
          <w:numId w:val="2"/>
        </w:numPr>
        <w:ind w:left="709" w:hanging="425"/>
        <w:contextualSpacing/>
        <w:jc w:val="both"/>
        <w:rPr>
          <w:bCs w:val="0"/>
          <w:i w:val="0"/>
        </w:rPr>
      </w:pPr>
      <w:r w:rsidRPr="002D290A">
        <w:rPr>
          <w:bCs w:val="0"/>
          <w:i w:val="0"/>
        </w:rPr>
        <w:t>Which translation theories and models were adopted by the Iranian postgraduate translation researchers?</w:t>
      </w:r>
    </w:p>
    <w:p w14:paraId="30A50932" w14:textId="77777777" w:rsidR="002D290A" w:rsidRDefault="00B62FE9" w:rsidP="002D290A">
      <w:pPr>
        <w:pStyle w:val="Nadpis2"/>
        <w:keepNext w:val="0"/>
        <w:numPr>
          <w:ilvl w:val="0"/>
          <w:numId w:val="2"/>
        </w:numPr>
        <w:ind w:left="709" w:hanging="425"/>
        <w:contextualSpacing/>
        <w:jc w:val="both"/>
        <w:rPr>
          <w:bCs w:val="0"/>
          <w:i w:val="0"/>
        </w:rPr>
      </w:pPr>
      <w:r w:rsidRPr="002D290A">
        <w:rPr>
          <w:bCs w:val="0"/>
          <w:i w:val="0"/>
        </w:rPr>
        <w:t>What types of research methodologies and methods were used in the studies?</w:t>
      </w:r>
    </w:p>
    <w:p w14:paraId="2A47EF39" w14:textId="115AD141" w:rsidR="00B62FE9" w:rsidRPr="002D290A" w:rsidRDefault="00B62FE9" w:rsidP="002D290A">
      <w:pPr>
        <w:pStyle w:val="Nadpis2"/>
        <w:keepNext w:val="0"/>
        <w:numPr>
          <w:ilvl w:val="0"/>
          <w:numId w:val="2"/>
        </w:numPr>
        <w:spacing w:before="0" w:after="160"/>
        <w:ind w:left="709" w:hanging="425"/>
        <w:contextualSpacing/>
        <w:jc w:val="both"/>
        <w:rPr>
          <w:bCs w:val="0"/>
          <w:i w:val="0"/>
        </w:rPr>
      </w:pPr>
      <w:r w:rsidRPr="002D290A">
        <w:rPr>
          <w:bCs w:val="0"/>
          <w:i w:val="0"/>
        </w:rPr>
        <w:t>Which universities and disciplines had the highest number of studies?</w:t>
      </w:r>
    </w:p>
    <w:p w14:paraId="393ABBD3" w14:textId="18D71B03" w:rsidR="009E7A8E" w:rsidRPr="00123CBC" w:rsidRDefault="00DC3B9C" w:rsidP="00123CBC">
      <w:pPr>
        <w:pStyle w:val="Nadpis1"/>
        <w:numPr>
          <w:ilvl w:val="0"/>
          <w:numId w:val="1"/>
        </w:numPr>
        <w:spacing w:before="560" w:after="280"/>
        <w:ind w:left="425" w:hanging="425"/>
      </w:pPr>
      <w:r w:rsidRPr="00123CBC">
        <w:t>Theoretical background</w:t>
      </w:r>
    </w:p>
    <w:p w14:paraId="70FE7662" w14:textId="57274F64" w:rsidR="004E769B" w:rsidRDefault="0015768C" w:rsidP="004E769B">
      <w:pPr>
        <w:pStyle w:val="Nadpis2"/>
        <w:keepNext w:val="0"/>
        <w:contextualSpacing/>
        <w:jc w:val="both"/>
        <w:rPr>
          <w:i w:val="0"/>
        </w:rPr>
      </w:pPr>
      <w:r w:rsidRPr="0015768C">
        <w:rPr>
          <w:i w:val="0"/>
        </w:rPr>
        <w:t>The call for a sociological focus on translation dates back to the late 1980s when Mossop (1988) suggested emphasi</w:t>
      </w:r>
      <w:r w:rsidR="00535E0F">
        <w:rPr>
          <w:i w:val="0"/>
        </w:rPr>
        <w:t>s</w:t>
      </w:r>
      <w:r w:rsidRPr="0015768C">
        <w:rPr>
          <w:i w:val="0"/>
        </w:rPr>
        <w:t xml:space="preserve">ing translation as a unique form of cultural production. He raised the need to examine the role of institutions such as corporations, churches, governments, and newspapers in translation theories. In his opinion, the political and social goals of the institutions affect the general approach of translation. According to him, institutions are the main actors in the translation process and serve the goals of their own groups, movements, and audiences by producing translations. This also highlights the role of institutional translators in the translation process, which is a separate area of research in the </w:t>
      </w:r>
      <w:proofErr w:type="spellStart"/>
      <w:r w:rsidRPr="0015768C">
        <w:rPr>
          <w:i w:val="0"/>
        </w:rPr>
        <w:t>S</w:t>
      </w:r>
      <w:r w:rsidR="003748BF">
        <w:rPr>
          <w:i w:val="0"/>
        </w:rPr>
        <w:t>o</w:t>
      </w:r>
      <w:r w:rsidRPr="0015768C">
        <w:rPr>
          <w:i w:val="0"/>
        </w:rPr>
        <w:t>T</w:t>
      </w:r>
      <w:proofErr w:type="spellEnd"/>
      <w:r w:rsidRPr="0015768C">
        <w:rPr>
          <w:i w:val="0"/>
        </w:rPr>
        <w:t xml:space="preserve">. However, it was not until </w:t>
      </w:r>
      <w:r w:rsidR="001F0783">
        <w:rPr>
          <w:i w:val="0"/>
        </w:rPr>
        <w:t xml:space="preserve">the </w:t>
      </w:r>
      <w:r w:rsidRPr="0015768C">
        <w:rPr>
          <w:i w:val="0"/>
        </w:rPr>
        <w:t xml:space="preserve">early 2000s when the study of the </w:t>
      </w:r>
      <w:proofErr w:type="spellStart"/>
      <w:r w:rsidRPr="0015768C">
        <w:rPr>
          <w:i w:val="0"/>
        </w:rPr>
        <w:t>S</w:t>
      </w:r>
      <w:r w:rsidR="003748BF">
        <w:rPr>
          <w:i w:val="0"/>
        </w:rPr>
        <w:t>o</w:t>
      </w:r>
      <w:r w:rsidRPr="0015768C">
        <w:rPr>
          <w:i w:val="0"/>
        </w:rPr>
        <w:t>T</w:t>
      </w:r>
      <w:proofErr w:type="spellEnd"/>
      <w:r w:rsidRPr="0015768C">
        <w:rPr>
          <w:i w:val="0"/>
        </w:rPr>
        <w:t xml:space="preserve"> witnessed an increase in importance and dimensions. Consequently, many translation scholars have referred to this development using terms such as a new </w:t>
      </w:r>
      <w:r w:rsidRPr="00886DB6">
        <w:rPr>
          <w:iCs/>
        </w:rPr>
        <w:t>turn</w:t>
      </w:r>
      <w:r w:rsidRPr="0015768C">
        <w:rPr>
          <w:i w:val="0"/>
        </w:rPr>
        <w:t xml:space="preserve">, </w:t>
      </w:r>
      <w:r w:rsidRPr="00886DB6">
        <w:rPr>
          <w:iCs/>
        </w:rPr>
        <w:t>approach</w:t>
      </w:r>
      <w:r w:rsidRPr="0015768C">
        <w:rPr>
          <w:i w:val="0"/>
        </w:rPr>
        <w:t xml:space="preserve"> or </w:t>
      </w:r>
      <w:r w:rsidRPr="00886DB6">
        <w:rPr>
          <w:iCs/>
        </w:rPr>
        <w:t>perspective</w:t>
      </w:r>
      <w:r w:rsidRPr="0015768C">
        <w:rPr>
          <w:i w:val="0"/>
        </w:rPr>
        <w:t xml:space="preserve"> (</w:t>
      </w:r>
      <w:r w:rsidR="008C6216" w:rsidRPr="0015768C">
        <w:rPr>
          <w:i w:val="0"/>
        </w:rPr>
        <w:t>Wolf 2005</w:t>
      </w:r>
      <w:r w:rsidR="008C6216">
        <w:rPr>
          <w:i w:val="0"/>
        </w:rPr>
        <w:t xml:space="preserve">; </w:t>
      </w:r>
      <w:r w:rsidR="008C6216" w:rsidRPr="0015768C">
        <w:rPr>
          <w:i w:val="0"/>
        </w:rPr>
        <w:t>Pym 2006;</w:t>
      </w:r>
      <w:r w:rsidR="008C6216" w:rsidRPr="008C6216">
        <w:rPr>
          <w:i w:val="0"/>
        </w:rPr>
        <w:t xml:space="preserve"> </w:t>
      </w:r>
      <w:r w:rsidR="008C6216" w:rsidRPr="0015768C">
        <w:rPr>
          <w:i w:val="0"/>
        </w:rPr>
        <w:t>Snell-Hornby 2006;</w:t>
      </w:r>
      <w:r w:rsidR="008C6216">
        <w:rPr>
          <w:i w:val="0"/>
        </w:rPr>
        <w:t xml:space="preserve"> </w:t>
      </w:r>
      <w:r w:rsidR="008C6216" w:rsidRPr="0015768C">
        <w:rPr>
          <w:i w:val="0"/>
        </w:rPr>
        <w:t xml:space="preserve">Doorslaer 2007; </w:t>
      </w:r>
      <w:proofErr w:type="spellStart"/>
      <w:r w:rsidR="008C6216" w:rsidRPr="0015768C">
        <w:rPr>
          <w:i w:val="0"/>
        </w:rPr>
        <w:t>Inghilleri</w:t>
      </w:r>
      <w:proofErr w:type="spellEnd"/>
      <w:r w:rsidR="008C6216" w:rsidRPr="0015768C">
        <w:rPr>
          <w:i w:val="0"/>
        </w:rPr>
        <w:t xml:space="preserve"> 2009; </w:t>
      </w:r>
      <w:proofErr w:type="spellStart"/>
      <w:r w:rsidR="00585336" w:rsidRPr="0015768C">
        <w:rPr>
          <w:i w:val="0"/>
        </w:rPr>
        <w:t>Angelelli</w:t>
      </w:r>
      <w:proofErr w:type="spellEnd"/>
      <w:r w:rsidR="00585336" w:rsidRPr="0015768C">
        <w:rPr>
          <w:i w:val="0"/>
        </w:rPr>
        <w:t xml:space="preserve"> 2014; </w:t>
      </w:r>
      <w:r w:rsidR="008C6216" w:rsidRPr="0015768C">
        <w:rPr>
          <w:i w:val="0"/>
        </w:rPr>
        <w:t>Sapiro 2014</w:t>
      </w:r>
      <w:r w:rsidR="008C6216">
        <w:rPr>
          <w:i w:val="0"/>
        </w:rPr>
        <w:t>;</w:t>
      </w:r>
      <w:r w:rsidR="008C6216" w:rsidRPr="00886DB6">
        <w:rPr>
          <w:i w:val="0"/>
        </w:rPr>
        <w:t xml:space="preserve"> </w:t>
      </w:r>
      <w:r w:rsidR="00585336" w:rsidRPr="0015768C">
        <w:rPr>
          <w:i w:val="0"/>
        </w:rPr>
        <w:t xml:space="preserve">Berneking 2016; </w:t>
      </w:r>
      <w:r w:rsidR="00886DB6" w:rsidRPr="0015768C">
        <w:rPr>
          <w:i w:val="0"/>
        </w:rPr>
        <w:t>Munday 2016</w:t>
      </w:r>
      <w:r w:rsidRPr="0015768C">
        <w:rPr>
          <w:i w:val="0"/>
        </w:rPr>
        <w:t>).</w:t>
      </w:r>
    </w:p>
    <w:p w14:paraId="79792B06" w14:textId="33844A0B" w:rsidR="004E769B" w:rsidRDefault="0015768C" w:rsidP="004E769B">
      <w:pPr>
        <w:pStyle w:val="Nadpis2"/>
        <w:keepNext w:val="0"/>
        <w:ind w:firstLine="708"/>
        <w:contextualSpacing/>
        <w:jc w:val="both"/>
        <w:rPr>
          <w:i w:val="0"/>
        </w:rPr>
      </w:pPr>
      <w:r w:rsidRPr="0015768C">
        <w:rPr>
          <w:i w:val="0"/>
        </w:rPr>
        <w:t>The sociological approach to translation studies emphasi</w:t>
      </w:r>
      <w:r w:rsidR="005666AD">
        <w:rPr>
          <w:i w:val="0"/>
        </w:rPr>
        <w:t>s</w:t>
      </w:r>
      <w:r w:rsidRPr="0015768C">
        <w:rPr>
          <w:i w:val="0"/>
        </w:rPr>
        <w:t xml:space="preserve">es the role of the translator as an agent who is actively involved in translation practice in various social contexts. Translation scholars have identified different research areas with respect to their perspective on the </w:t>
      </w:r>
      <w:proofErr w:type="spellStart"/>
      <w:r w:rsidRPr="0015768C">
        <w:rPr>
          <w:i w:val="0"/>
        </w:rPr>
        <w:t>S</w:t>
      </w:r>
      <w:r w:rsidR="003748BF">
        <w:rPr>
          <w:i w:val="0"/>
        </w:rPr>
        <w:t>o</w:t>
      </w:r>
      <w:r w:rsidRPr="0015768C">
        <w:rPr>
          <w:i w:val="0"/>
        </w:rPr>
        <w:t>T</w:t>
      </w:r>
      <w:proofErr w:type="spellEnd"/>
      <w:r w:rsidRPr="0015768C">
        <w:rPr>
          <w:i w:val="0"/>
        </w:rPr>
        <w:t>. For example, Wolf (2007)</w:t>
      </w:r>
      <w:r w:rsidR="00535E0F">
        <w:rPr>
          <w:i w:val="0"/>
        </w:rPr>
        <w:t>,</w:t>
      </w:r>
      <w:r w:rsidRPr="0015768C">
        <w:rPr>
          <w:i w:val="0"/>
        </w:rPr>
        <w:t xml:space="preserve"> in her work entitled “The emergence of a sociology of translation”</w:t>
      </w:r>
      <w:r w:rsidR="00535E0F">
        <w:rPr>
          <w:i w:val="0"/>
        </w:rPr>
        <w:t>,</w:t>
      </w:r>
      <w:r w:rsidRPr="0015768C">
        <w:rPr>
          <w:i w:val="0"/>
        </w:rPr>
        <w:t xml:space="preserve"> has delineated three broad areas: first, sociology of the translation agents, which examines the main agents involved in the production of translation, including the translators, publishers, editors, commissioners, and other agents; second, sociology of the translation process, which investigates the social procedures contributing to the development of translation product from the beginning to the final stage; and finally, sociology of the translation product, that explores translation transfer to different social contexts and its role as a cultural product.</w:t>
      </w:r>
    </w:p>
    <w:p w14:paraId="13CA9AF8" w14:textId="4C4C5C24" w:rsidR="004E769B" w:rsidRDefault="0015768C" w:rsidP="004E769B">
      <w:pPr>
        <w:pStyle w:val="Nadpis2"/>
        <w:keepNext w:val="0"/>
        <w:ind w:firstLine="708"/>
        <w:contextualSpacing/>
        <w:jc w:val="both"/>
        <w:rPr>
          <w:i w:val="0"/>
        </w:rPr>
      </w:pPr>
      <w:r w:rsidRPr="0015768C">
        <w:rPr>
          <w:i w:val="0"/>
        </w:rPr>
        <w:t xml:space="preserve">In the same book, Heilbron </w:t>
      </w:r>
      <w:r w:rsidR="00EA22B8">
        <w:rPr>
          <w:i w:val="0"/>
        </w:rPr>
        <w:t>&amp;</w:t>
      </w:r>
      <w:r w:rsidRPr="0015768C">
        <w:rPr>
          <w:i w:val="0"/>
        </w:rPr>
        <w:t xml:space="preserve"> Sapiro (2007) proposed consideration of three dimensions in which translations are embedded in their social contexts: first, the make-up of the global field of cultural exchanges; second, the political and economic restrictions affecting those cultural exchanges; and finally, the role of intermediary agents and the importing and receiving processes in the recipient country.</w:t>
      </w:r>
    </w:p>
    <w:p w14:paraId="01420BC8" w14:textId="274DF667" w:rsidR="00B2700E" w:rsidRDefault="0015768C" w:rsidP="00620473">
      <w:pPr>
        <w:pStyle w:val="Nadpis2"/>
        <w:keepLines/>
        <w:ind w:firstLine="709"/>
        <w:contextualSpacing/>
        <w:jc w:val="both"/>
        <w:rPr>
          <w:i w:val="0"/>
        </w:rPr>
      </w:pPr>
      <w:r w:rsidRPr="0015768C">
        <w:rPr>
          <w:i w:val="0"/>
        </w:rPr>
        <w:lastRenderedPageBreak/>
        <w:t>Based on a broad definition</w:t>
      </w:r>
      <w:r w:rsidRPr="00BA4A7C">
        <w:rPr>
          <w:i w:val="0"/>
        </w:rPr>
        <w:t xml:space="preserve">, </w:t>
      </w:r>
      <w:proofErr w:type="spellStart"/>
      <w:r w:rsidRPr="00BA4A7C">
        <w:rPr>
          <w:i w:val="0"/>
        </w:rPr>
        <w:t>Inghilleri</w:t>
      </w:r>
      <w:proofErr w:type="spellEnd"/>
      <w:r w:rsidRPr="00BA4A7C">
        <w:rPr>
          <w:i w:val="0"/>
        </w:rPr>
        <w:t xml:space="preserve"> (2009</w:t>
      </w:r>
      <w:r w:rsidR="00D26E0C">
        <w:rPr>
          <w:i w:val="0"/>
        </w:rPr>
        <w:t xml:space="preserve">: </w:t>
      </w:r>
      <w:r w:rsidR="00C37ABC">
        <w:rPr>
          <w:i w:val="0"/>
        </w:rPr>
        <w:t>279</w:t>
      </w:r>
      <w:r w:rsidRPr="00BA4A7C">
        <w:rPr>
          <w:i w:val="0"/>
        </w:rPr>
        <w:t xml:space="preserve">) stated </w:t>
      </w:r>
      <w:r w:rsidRPr="0015768C">
        <w:rPr>
          <w:i w:val="0"/>
        </w:rPr>
        <w:t xml:space="preserve">that the areas and domains dealing with the </w:t>
      </w:r>
      <w:proofErr w:type="spellStart"/>
      <w:r w:rsidRPr="0015768C">
        <w:rPr>
          <w:i w:val="0"/>
        </w:rPr>
        <w:t>S</w:t>
      </w:r>
      <w:r w:rsidR="003748BF">
        <w:rPr>
          <w:i w:val="0"/>
        </w:rPr>
        <w:t>o</w:t>
      </w:r>
      <w:r w:rsidRPr="0015768C">
        <w:rPr>
          <w:i w:val="0"/>
        </w:rPr>
        <w:t>T</w:t>
      </w:r>
      <w:proofErr w:type="spellEnd"/>
      <w:r w:rsidRPr="0015768C">
        <w:rPr>
          <w:i w:val="0"/>
        </w:rPr>
        <w:t xml:space="preserve"> include the study of training institutions where translator education takes place; the methodologies and didactics; the relationship between translator education and translation profession; the interconnection between research and pedagogy; the social structure and make-up of professional associations; the personal and professional careers of translators and interpreters; the role of translation in the international marketing of cultural products; the impact of market demand on the translation profession; the role of translation and interpreting in expressing social and political movements; translation and globalization; translation and activism; and the agency of translators. Therefore, the vast territories of the </w:t>
      </w:r>
      <w:proofErr w:type="spellStart"/>
      <w:r w:rsidRPr="0015768C">
        <w:rPr>
          <w:i w:val="0"/>
        </w:rPr>
        <w:t>S</w:t>
      </w:r>
      <w:r w:rsidR="003748BF">
        <w:rPr>
          <w:i w:val="0"/>
        </w:rPr>
        <w:t>o</w:t>
      </w:r>
      <w:r w:rsidRPr="0015768C">
        <w:rPr>
          <w:i w:val="0"/>
        </w:rPr>
        <w:t>T</w:t>
      </w:r>
      <w:proofErr w:type="spellEnd"/>
      <w:r w:rsidRPr="0015768C">
        <w:rPr>
          <w:i w:val="0"/>
        </w:rPr>
        <w:t xml:space="preserve"> outlined by her definition can be incorporated into at least four major areas of research described by Williams </w:t>
      </w:r>
      <w:r w:rsidR="002210B5">
        <w:rPr>
          <w:i w:val="0"/>
        </w:rPr>
        <w:t>&amp;</w:t>
      </w:r>
      <w:r w:rsidRPr="0015768C">
        <w:rPr>
          <w:i w:val="0"/>
        </w:rPr>
        <w:t xml:space="preserve"> Chesterman (2002)</w:t>
      </w:r>
      <w:r w:rsidR="00EA22B8">
        <w:rPr>
          <w:i w:val="0"/>
        </w:rPr>
        <w:t>,</w:t>
      </w:r>
      <w:r w:rsidRPr="0015768C">
        <w:rPr>
          <w:i w:val="0"/>
        </w:rPr>
        <w:t xml:space="preserve"> i.e. translation history, translation ethics, translator training, and the translation profession.</w:t>
      </w:r>
    </w:p>
    <w:p w14:paraId="7A65BD64" w14:textId="5192DE1C" w:rsidR="00B2700E" w:rsidRDefault="0015768C" w:rsidP="00AD7E3B">
      <w:pPr>
        <w:pStyle w:val="Nadpis2"/>
        <w:keepNext w:val="0"/>
        <w:spacing w:after="0"/>
        <w:ind w:firstLine="709"/>
        <w:jc w:val="both"/>
        <w:rPr>
          <w:i w:val="0"/>
        </w:rPr>
      </w:pPr>
      <w:r w:rsidRPr="0015768C">
        <w:rPr>
          <w:i w:val="0"/>
        </w:rPr>
        <w:t xml:space="preserve">Interestingly, Chesterman (2009) </w:t>
      </w:r>
      <w:r w:rsidR="00FC7B70" w:rsidRPr="00FC7B70">
        <w:rPr>
          <w:i w:val="0"/>
        </w:rPr>
        <w:t xml:space="preserve">himself </w:t>
      </w:r>
      <w:r w:rsidRPr="0015768C">
        <w:rPr>
          <w:i w:val="0"/>
        </w:rPr>
        <w:t xml:space="preserve">promoted the idea of founding the new field of </w:t>
      </w:r>
      <w:r w:rsidRPr="00FD1CC1">
        <w:rPr>
          <w:i w:val="0"/>
        </w:rPr>
        <w:t>translator studies</w:t>
      </w:r>
      <w:r w:rsidRPr="0015768C">
        <w:rPr>
          <w:i w:val="0"/>
        </w:rPr>
        <w:t xml:space="preserve">, highlighting the cultural, cognitive, and sociological characteristics of translators. Each of these </w:t>
      </w:r>
      <w:r w:rsidRPr="00FD1CC1">
        <w:rPr>
          <w:i w:val="0"/>
        </w:rPr>
        <w:t>agent-oriented</w:t>
      </w:r>
      <w:r w:rsidRPr="0015768C">
        <w:rPr>
          <w:i w:val="0"/>
        </w:rPr>
        <w:t xml:space="preserve"> properties would in turn constitute a separate branch of translator studies. According to </w:t>
      </w:r>
      <w:r w:rsidRPr="00BA4A7C">
        <w:rPr>
          <w:i w:val="0"/>
        </w:rPr>
        <w:t>Chesterman (2009</w:t>
      </w:r>
      <w:r w:rsidR="00A647C2">
        <w:rPr>
          <w:i w:val="0"/>
        </w:rPr>
        <w:t xml:space="preserve">: </w:t>
      </w:r>
      <w:r w:rsidR="004263E6">
        <w:rPr>
          <w:i w:val="0"/>
        </w:rPr>
        <w:t>19</w:t>
      </w:r>
      <w:r w:rsidRPr="00BA4A7C">
        <w:rPr>
          <w:i w:val="0"/>
        </w:rPr>
        <w:t xml:space="preserve">), </w:t>
      </w:r>
      <w:r w:rsidRPr="0015768C">
        <w:rPr>
          <w:i w:val="0"/>
        </w:rPr>
        <w:t>the sociological branch deals with observable behaviour of translators as individuals, groups or institutions, their social status, networks, and how they interact with members of other groups and with the technology. Since translators are not the only agents in the process of translation, Chesterman (2009</w:t>
      </w:r>
      <w:r w:rsidR="00065406">
        <w:rPr>
          <w:i w:val="0"/>
        </w:rPr>
        <w:t>: 20</w:t>
      </w:r>
      <w:r w:rsidRPr="0015768C">
        <w:rPr>
          <w:i w:val="0"/>
        </w:rPr>
        <w:t xml:space="preserve">) included other agents in his model such as publishers, editors, commissioners, etc. Based on the above-mentioned definitions, Table 1 compares major areas of the </w:t>
      </w:r>
      <w:proofErr w:type="spellStart"/>
      <w:r w:rsidRPr="0015768C">
        <w:rPr>
          <w:i w:val="0"/>
        </w:rPr>
        <w:t>S</w:t>
      </w:r>
      <w:r w:rsidR="003748BF">
        <w:rPr>
          <w:i w:val="0"/>
        </w:rPr>
        <w:t>o</w:t>
      </w:r>
      <w:r w:rsidRPr="0015768C">
        <w:rPr>
          <w:i w:val="0"/>
        </w:rPr>
        <w:t>T</w:t>
      </w:r>
      <w:proofErr w:type="spellEnd"/>
      <w:r w:rsidRPr="0015768C">
        <w:rPr>
          <w:i w:val="0"/>
        </w:rPr>
        <w:t xml:space="preserve"> as proposed by different scholars.</w:t>
      </w:r>
    </w:p>
    <w:p w14:paraId="1A3B04BC" w14:textId="62E14F83" w:rsidR="00F15814" w:rsidRPr="00D743BB" w:rsidRDefault="00A70D68" w:rsidP="00D743BB">
      <w:pPr>
        <w:pStyle w:val="Podtitul"/>
        <w:spacing w:before="160" w:after="120" w:line="360" w:lineRule="auto"/>
        <w:jc w:val="left"/>
        <w:rPr>
          <w:b w:val="0"/>
          <w:bCs w:val="0"/>
          <w:lang w:val="en-GB"/>
        </w:rPr>
      </w:pPr>
      <w:r w:rsidRPr="00D743BB">
        <w:rPr>
          <w:b w:val="0"/>
          <w:bCs w:val="0"/>
          <w:lang w:val="en-GB"/>
        </w:rPr>
        <w:t>Table 1</w:t>
      </w:r>
      <w:r w:rsidR="00073311" w:rsidRPr="00D743BB">
        <w:rPr>
          <w:b w:val="0"/>
          <w:bCs w:val="0"/>
          <w:lang w:val="en-GB"/>
        </w:rPr>
        <w:t>:</w:t>
      </w:r>
      <w:r w:rsidRPr="00D743BB">
        <w:rPr>
          <w:b w:val="0"/>
          <w:bCs w:val="0"/>
          <w:lang w:val="en-GB"/>
        </w:rPr>
        <w:t xml:space="preserve"> Key areas of the </w:t>
      </w:r>
      <w:proofErr w:type="spellStart"/>
      <w:r w:rsidRPr="00D743BB">
        <w:rPr>
          <w:b w:val="0"/>
          <w:bCs w:val="0"/>
          <w:lang w:val="en-GB"/>
        </w:rPr>
        <w:t>S</w:t>
      </w:r>
      <w:r w:rsidR="003748BF" w:rsidRPr="00D743BB">
        <w:rPr>
          <w:b w:val="0"/>
          <w:bCs w:val="0"/>
          <w:lang w:val="en-GB"/>
        </w:rPr>
        <w:t>o</w:t>
      </w:r>
      <w:r w:rsidRPr="00D743BB">
        <w:rPr>
          <w:b w:val="0"/>
          <w:bCs w:val="0"/>
          <w:lang w:val="en-GB"/>
        </w:rPr>
        <w:t>T</w:t>
      </w:r>
      <w:proofErr w:type="spellEnd"/>
      <w:r w:rsidRPr="00D743BB">
        <w:rPr>
          <w:b w:val="0"/>
          <w:bCs w:val="0"/>
          <w:lang w:val="en-GB"/>
        </w:rPr>
        <w:t xml:space="preserve"> as proposed by different scholars</w:t>
      </w:r>
    </w:p>
    <w:tbl>
      <w:tblPr>
        <w:tblW w:w="5000" w:type="pct"/>
        <w:jc w:val="center"/>
        <w:tblLook w:val="04A0" w:firstRow="1" w:lastRow="0" w:firstColumn="1" w:lastColumn="0" w:noHBand="0" w:noVBand="1"/>
      </w:tblPr>
      <w:tblGrid>
        <w:gridCol w:w="3894"/>
        <w:gridCol w:w="1247"/>
        <w:gridCol w:w="1361"/>
        <w:gridCol w:w="1390"/>
        <w:gridCol w:w="1134"/>
      </w:tblGrid>
      <w:tr w:rsidR="00A70D68" w:rsidRPr="00170686" w14:paraId="12279C5D" w14:textId="77777777" w:rsidTr="00620473">
        <w:trPr>
          <w:trHeight w:val="743"/>
          <w:tblHeader/>
          <w:jc w:val="center"/>
        </w:trPr>
        <w:tc>
          <w:tcPr>
            <w:tcW w:w="2157" w:type="pct"/>
            <w:tcBorders>
              <w:top w:val="single" w:sz="12" w:space="0" w:color="auto"/>
              <w:bottom w:val="single" w:sz="8" w:space="0" w:color="auto"/>
            </w:tcBorders>
            <w:shd w:val="clear" w:color="auto" w:fill="auto"/>
          </w:tcPr>
          <w:p w14:paraId="65315A4A"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Scholars→</w:t>
            </w:r>
          </w:p>
          <w:p w14:paraId="3161B95A"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
          <w:p w14:paraId="0D107DD3"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Key Areas↓</w:t>
            </w:r>
          </w:p>
        </w:tc>
        <w:tc>
          <w:tcPr>
            <w:tcW w:w="691" w:type="pct"/>
            <w:tcBorders>
              <w:top w:val="single" w:sz="12" w:space="0" w:color="auto"/>
              <w:bottom w:val="single" w:sz="8" w:space="0" w:color="auto"/>
            </w:tcBorders>
            <w:shd w:val="clear" w:color="auto" w:fill="auto"/>
          </w:tcPr>
          <w:p w14:paraId="4CB7D01C"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 xml:space="preserve">Wolf </w:t>
            </w:r>
          </w:p>
          <w:p w14:paraId="42B78E73"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(2007)</w:t>
            </w:r>
          </w:p>
        </w:tc>
        <w:tc>
          <w:tcPr>
            <w:tcW w:w="754" w:type="pct"/>
            <w:tcBorders>
              <w:top w:val="single" w:sz="12" w:space="0" w:color="auto"/>
              <w:bottom w:val="single" w:sz="8" w:space="0" w:color="auto"/>
            </w:tcBorders>
            <w:shd w:val="clear" w:color="auto" w:fill="auto"/>
          </w:tcPr>
          <w:p w14:paraId="16E0A82C" w14:textId="31854574"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 xml:space="preserve">Heilbron </w:t>
            </w:r>
            <w:r w:rsidR="00073311">
              <w:rPr>
                <w:rFonts w:cs="Arial"/>
                <w:color w:val="000000"/>
                <w:sz w:val="22"/>
                <w:szCs w:val="22"/>
                <w:lang w:val="en-MY" w:eastAsia="en-MY"/>
              </w:rPr>
              <w:t>&amp;</w:t>
            </w:r>
            <w:r w:rsidRPr="00170686">
              <w:rPr>
                <w:rFonts w:cs="Arial"/>
                <w:color w:val="000000"/>
                <w:sz w:val="22"/>
                <w:szCs w:val="22"/>
                <w:lang w:val="en-MY" w:eastAsia="en-MY"/>
              </w:rPr>
              <w:t xml:space="preserve"> Sapiro (2007)</w:t>
            </w:r>
          </w:p>
        </w:tc>
        <w:tc>
          <w:tcPr>
            <w:tcW w:w="770" w:type="pct"/>
            <w:tcBorders>
              <w:top w:val="single" w:sz="12" w:space="0" w:color="auto"/>
              <w:bottom w:val="single" w:sz="8" w:space="0" w:color="auto"/>
            </w:tcBorders>
            <w:shd w:val="clear" w:color="auto" w:fill="auto"/>
          </w:tcPr>
          <w:p w14:paraId="43A06405"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Chesterman (2009)</w:t>
            </w:r>
          </w:p>
        </w:tc>
        <w:tc>
          <w:tcPr>
            <w:tcW w:w="629" w:type="pct"/>
            <w:tcBorders>
              <w:top w:val="single" w:sz="12" w:space="0" w:color="auto"/>
              <w:bottom w:val="single" w:sz="8" w:space="0" w:color="auto"/>
            </w:tcBorders>
            <w:shd w:val="clear" w:color="auto" w:fill="auto"/>
          </w:tcPr>
          <w:p w14:paraId="7B29EAF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roofErr w:type="spellStart"/>
            <w:r w:rsidRPr="00170686">
              <w:rPr>
                <w:rFonts w:cs="Arial"/>
                <w:color w:val="000000"/>
                <w:sz w:val="22"/>
                <w:szCs w:val="22"/>
                <w:lang w:val="en-MY" w:eastAsia="en-MY"/>
              </w:rPr>
              <w:t>Inghilleri</w:t>
            </w:r>
            <w:proofErr w:type="spellEnd"/>
            <w:r w:rsidRPr="00170686">
              <w:rPr>
                <w:rFonts w:cs="Arial"/>
                <w:color w:val="000000"/>
                <w:sz w:val="22"/>
                <w:szCs w:val="22"/>
                <w:lang w:val="en-MY" w:eastAsia="en-MY"/>
              </w:rPr>
              <w:t xml:space="preserve"> (2009)</w:t>
            </w:r>
          </w:p>
        </w:tc>
      </w:tr>
      <w:tr w:rsidR="00A70D68" w:rsidRPr="00170686" w14:paraId="31B24E2A" w14:textId="77777777" w:rsidTr="00620473">
        <w:trPr>
          <w:trHeight w:val="488"/>
          <w:jc w:val="center"/>
        </w:trPr>
        <w:tc>
          <w:tcPr>
            <w:tcW w:w="2157" w:type="pct"/>
            <w:tcBorders>
              <w:top w:val="single" w:sz="8" w:space="0" w:color="auto"/>
            </w:tcBorders>
            <w:shd w:val="clear" w:color="auto" w:fill="auto"/>
          </w:tcPr>
          <w:p w14:paraId="14A649DE"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 xml:space="preserve">Sociology of the translation agents (translators, publishers, editors, etc.) </w:t>
            </w:r>
          </w:p>
        </w:tc>
        <w:tc>
          <w:tcPr>
            <w:tcW w:w="691" w:type="pct"/>
            <w:tcBorders>
              <w:top w:val="single" w:sz="8" w:space="0" w:color="auto"/>
            </w:tcBorders>
            <w:shd w:val="clear" w:color="auto" w:fill="auto"/>
          </w:tcPr>
          <w:p w14:paraId="4A6C9853" w14:textId="77777777" w:rsidR="00A70D68" w:rsidRPr="00170686" w:rsidRDefault="00A70D68" w:rsidP="00073311">
            <w:pPr>
              <w:widowControl w:val="0"/>
              <w:suppressAutoHyphens/>
              <w:adjustRightInd w:val="0"/>
              <w:snapToGrid w:val="0"/>
              <w:spacing w:line="240" w:lineRule="atLeast"/>
              <w:jc w:val="center"/>
              <w:rPr>
                <w:rFonts w:cs="Arial"/>
                <w:color w:val="000000"/>
                <w:sz w:val="22"/>
                <w:szCs w:val="22"/>
                <w:lang w:val="en-MY" w:eastAsia="en-MY"/>
              </w:rPr>
            </w:pPr>
          </w:p>
          <w:p w14:paraId="431C775A" w14:textId="77777777" w:rsidR="00A70D68" w:rsidRPr="00170686" w:rsidRDefault="00A70D68" w:rsidP="00073311">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tcBorders>
              <w:top w:val="single" w:sz="8" w:space="0" w:color="auto"/>
            </w:tcBorders>
            <w:shd w:val="clear" w:color="auto" w:fill="auto"/>
          </w:tcPr>
          <w:p w14:paraId="361B914F" w14:textId="77777777" w:rsidR="00A70D68" w:rsidRPr="00170686" w:rsidRDefault="00A70D68" w:rsidP="00170686">
            <w:pPr>
              <w:widowControl w:val="0"/>
              <w:suppressAutoHyphens/>
              <w:adjustRightInd w:val="0"/>
              <w:snapToGrid w:val="0"/>
              <w:spacing w:line="240" w:lineRule="atLeast"/>
              <w:rPr>
                <w:rFonts w:cs="Arial"/>
                <w:color w:val="000000"/>
                <w:sz w:val="22"/>
                <w:szCs w:val="22"/>
                <w:lang w:val="en-MY" w:eastAsia="en-MY"/>
              </w:rPr>
            </w:pPr>
          </w:p>
          <w:p w14:paraId="5AA266D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tcBorders>
              <w:top w:val="single" w:sz="8" w:space="0" w:color="auto"/>
            </w:tcBorders>
            <w:shd w:val="clear" w:color="auto" w:fill="auto"/>
          </w:tcPr>
          <w:p w14:paraId="234FB8C5" w14:textId="77777777" w:rsidR="00A70D68" w:rsidRPr="00170686" w:rsidRDefault="00A70D68" w:rsidP="00170686">
            <w:pPr>
              <w:widowControl w:val="0"/>
              <w:suppressAutoHyphens/>
              <w:adjustRightInd w:val="0"/>
              <w:snapToGrid w:val="0"/>
              <w:spacing w:line="240" w:lineRule="atLeast"/>
              <w:rPr>
                <w:rFonts w:cs="Arial"/>
                <w:color w:val="000000"/>
                <w:sz w:val="22"/>
                <w:szCs w:val="22"/>
                <w:lang w:val="en-MY" w:eastAsia="en-MY"/>
              </w:rPr>
            </w:pPr>
          </w:p>
          <w:p w14:paraId="44702AAB"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tcBorders>
              <w:top w:val="single" w:sz="8" w:space="0" w:color="auto"/>
            </w:tcBorders>
            <w:shd w:val="clear" w:color="auto" w:fill="auto"/>
          </w:tcPr>
          <w:p w14:paraId="1E21B871" w14:textId="77777777" w:rsidR="00A70D68" w:rsidRPr="00170686" w:rsidRDefault="00A70D68" w:rsidP="00170686">
            <w:pPr>
              <w:widowControl w:val="0"/>
              <w:suppressAutoHyphens/>
              <w:adjustRightInd w:val="0"/>
              <w:snapToGrid w:val="0"/>
              <w:spacing w:line="240" w:lineRule="atLeast"/>
              <w:rPr>
                <w:rFonts w:cs="Arial"/>
                <w:color w:val="000000"/>
                <w:sz w:val="22"/>
                <w:szCs w:val="22"/>
                <w:lang w:val="en-MY" w:eastAsia="en-MY"/>
              </w:rPr>
            </w:pPr>
          </w:p>
          <w:p w14:paraId="0EAD841F"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24295A72" w14:textId="77777777" w:rsidTr="00620473">
        <w:trPr>
          <w:trHeight w:val="544"/>
          <w:jc w:val="center"/>
        </w:trPr>
        <w:tc>
          <w:tcPr>
            <w:tcW w:w="2157" w:type="pct"/>
            <w:shd w:val="clear" w:color="auto" w:fill="auto"/>
          </w:tcPr>
          <w:p w14:paraId="206D5DE1"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 xml:space="preserve">Sociology of the translation process (social procedures; development of translation product) </w:t>
            </w:r>
          </w:p>
        </w:tc>
        <w:tc>
          <w:tcPr>
            <w:tcW w:w="691" w:type="pct"/>
            <w:shd w:val="clear" w:color="auto" w:fill="auto"/>
          </w:tcPr>
          <w:p w14:paraId="1EB73231" w14:textId="77777777" w:rsidR="00A70D68" w:rsidRPr="00170686" w:rsidRDefault="00A70D68" w:rsidP="00073311">
            <w:pPr>
              <w:widowControl w:val="0"/>
              <w:suppressAutoHyphens/>
              <w:adjustRightInd w:val="0"/>
              <w:snapToGrid w:val="0"/>
              <w:spacing w:line="240" w:lineRule="atLeast"/>
              <w:jc w:val="center"/>
              <w:rPr>
                <w:rFonts w:cs="Arial"/>
                <w:color w:val="000000"/>
                <w:sz w:val="22"/>
                <w:szCs w:val="22"/>
                <w:lang w:val="en-MY" w:eastAsia="en-MY"/>
              </w:rPr>
            </w:pPr>
          </w:p>
          <w:p w14:paraId="750D5724" w14:textId="77777777" w:rsidR="00A70D68" w:rsidRPr="00170686" w:rsidRDefault="00A70D68" w:rsidP="00073311">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1BD4FC03"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
          <w:p w14:paraId="54D4C359"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01571962"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
          <w:p w14:paraId="0575753C"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061F2DDB"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
          <w:p w14:paraId="752EEC3A"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079E96B9" w14:textId="77777777" w:rsidTr="00620473">
        <w:trPr>
          <w:trHeight w:val="552"/>
          <w:jc w:val="center"/>
        </w:trPr>
        <w:tc>
          <w:tcPr>
            <w:tcW w:w="2157" w:type="pct"/>
            <w:shd w:val="clear" w:color="auto" w:fill="auto"/>
          </w:tcPr>
          <w:p w14:paraId="617F82AE" w14:textId="0BC83A19"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Sociology of the translation product (in different social contexts; as a cultural product)</w:t>
            </w:r>
            <w:r w:rsidR="00FE0B67">
              <w:rPr>
                <w:rFonts w:cs="Arial"/>
                <w:sz w:val="22"/>
                <w:szCs w:val="22"/>
                <w:lang w:val="en-MY" w:eastAsia="en-MY"/>
              </w:rPr>
              <w:t xml:space="preserve"> </w:t>
            </w:r>
          </w:p>
        </w:tc>
        <w:tc>
          <w:tcPr>
            <w:tcW w:w="691" w:type="pct"/>
            <w:shd w:val="clear" w:color="auto" w:fill="auto"/>
          </w:tcPr>
          <w:p w14:paraId="73C5410C"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
          <w:p w14:paraId="715D628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2699573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
          <w:p w14:paraId="63B3BD2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016CA21E"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
          <w:p w14:paraId="3F9412AB"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2E9D05B0"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p>
          <w:p w14:paraId="58EFEE8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4DEE845F" w14:textId="77777777" w:rsidTr="00620473">
        <w:trPr>
          <w:trHeight w:val="172"/>
          <w:jc w:val="center"/>
        </w:trPr>
        <w:tc>
          <w:tcPr>
            <w:tcW w:w="2157" w:type="pct"/>
            <w:shd w:val="clear" w:color="auto" w:fill="auto"/>
          </w:tcPr>
          <w:p w14:paraId="6A08FD56"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Global field of cultural exchanges</w:t>
            </w:r>
          </w:p>
        </w:tc>
        <w:tc>
          <w:tcPr>
            <w:tcW w:w="691" w:type="pct"/>
            <w:shd w:val="clear" w:color="auto" w:fill="auto"/>
          </w:tcPr>
          <w:p w14:paraId="75EBCD0A"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7226020C"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37298BA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4FDF8B4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247E9C3D" w14:textId="77777777" w:rsidTr="00620473">
        <w:trPr>
          <w:trHeight w:val="172"/>
          <w:jc w:val="center"/>
        </w:trPr>
        <w:tc>
          <w:tcPr>
            <w:tcW w:w="2157" w:type="pct"/>
            <w:shd w:val="clear" w:color="auto" w:fill="auto"/>
          </w:tcPr>
          <w:p w14:paraId="52591417"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Political and economic restrictions</w:t>
            </w:r>
          </w:p>
        </w:tc>
        <w:tc>
          <w:tcPr>
            <w:tcW w:w="691" w:type="pct"/>
            <w:shd w:val="clear" w:color="auto" w:fill="auto"/>
          </w:tcPr>
          <w:p w14:paraId="3E649F8E"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3549E553"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6EEF79B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741D562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6C0B2EA9" w14:textId="77777777" w:rsidTr="00620473">
        <w:trPr>
          <w:trHeight w:val="344"/>
          <w:jc w:val="center"/>
        </w:trPr>
        <w:tc>
          <w:tcPr>
            <w:tcW w:w="2157" w:type="pct"/>
            <w:shd w:val="clear" w:color="auto" w:fill="auto"/>
          </w:tcPr>
          <w:p w14:paraId="283C9F10"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Intermediary agents and the importing processes</w:t>
            </w:r>
          </w:p>
        </w:tc>
        <w:tc>
          <w:tcPr>
            <w:tcW w:w="691" w:type="pct"/>
            <w:shd w:val="clear" w:color="auto" w:fill="auto"/>
          </w:tcPr>
          <w:p w14:paraId="38AEE68E"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28CFA2D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40A6CFFF"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5A8644D3"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4A815C66" w14:textId="77777777" w:rsidTr="00620473">
        <w:trPr>
          <w:trHeight w:val="225"/>
          <w:jc w:val="center"/>
        </w:trPr>
        <w:tc>
          <w:tcPr>
            <w:tcW w:w="2157" w:type="pct"/>
            <w:shd w:val="clear" w:color="auto" w:fill="auto"/>
          </w:tcPr>
          <w:p w14:paraId="040A0BB3"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Study of training institutions</w:t>
            </w:r>
          </w:p>
        </w:tc>
        <w:tc>
          <w:tcPr>
            <w:tcW w:w="691" w:type="pct"/>
            <w:shd w:val="clear" w:color="auto" w:fill="auto"/>
          </w:tcPr>
          <w:p w14:paraId="106F80B6"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20A97FD0"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21992329"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0AE69225"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24DC3F5B" w14:textId="77777777" w:rsidTr="00620473">
        <w:trPr>
          <w:trHeight w:val="225"/>
          <w:jc w:val="center"/>
        </w:trPr>
        <w:tc>
          <w:tcPr>
            <w:tcW w:w="2157" w:type="pct"/>
            <w:shd w:val="clear" w:color="auto" w:fill="auto"/>
          </w:tcPr>
          <w:p w14:paraId="5FC28F6B" w14:textId="77777777" w:rsidR="00A70D68" w:rsidRPr="00170686" w:rsidRDefault="00A70D68" w:rsidP="00A73F4E">
            <w:pPr>
              <w:widowControl w:val="0"/>
              <w:suppressAutoHyphens/>
              <w:adjustRightInd w:val="0"/>
              <w:snapToGrid w:val="0"/>
              <w:spacing w:line="240" w:lineRule="atLeast"/>
              <w:ind w:left="338" w:hanging="338"/>
              <w:rPr>
                <w:rFonts w:cs="Arial"/>
                <w:color w:val="000000"/>
                <w:sz w:val="22"/>
                <w:szCs w:val="22"/>
                <w:lang w:val="en-MY" w:eastAsia="en-MY"/>
              </w:rPr>
            </w:pPr>
            <w:r w:rsidRPr="00170686">
              <w:rPr>
                <w:rFonts w:cs="Arial"/>
                <w:color w:val="000000"/>
                <w:sz w:val="22"/>
                <w:szCs w:val="22"/>
                <w:lang w:val="en-MY" w:eastAsia="en-MY"/>
              </w:rPr>
              <w:t>Study of methodologies and didactics</w:t>
            </w:r>
          </w:p>
        </w:tc>
        <w:tc>
          <w:tcPr>
            <w:tcW w:w="691" w:type="pct"/>
            <w:shd w:val="clear" w:color="auto" w:fill="auto"/>
          </w:tcPr>
          <w:p w14:paraId="4604D7F5"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42DDB4E9"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4E721F7E"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0B2EFE3E"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1E1BF674" w14:textId="77777777" w:rsidTr="00620473">
        <w:trPr>
          <w:trHeight w:val="373"/>
          <w:jc w:val="center"/>
        </w:trPr>
        <w:tc>
          <w:tcPr>
            <w:tcW w:w="2157" w:type="pct"/>
            <w:shd w:val="clear" w:color="auto" w:fill="auto"/>
          </w:tcPr>
          <w:p w14:paraId="30774DB1" w14:textId="77777777" w:rsidR="00A70D68" w:rsidRPr="00170686" w:rsidRDefault="00A70D68" w:rsidP="00A73F4E">
            <w:pPr>
              <w:widowControl w:val="0"/>
              <w:suppressAutoHyphens/>
              <w:adjustRightInd w:val="0"/>
              <w:snapToGrid w:val="0"/>
              <w:spacing w:line="240" w:lineRule="atLeast"/>
              <w:ind w:left="338" w:hanging="338"/>
              <w:rPr>
                <w:rFonts w:cs="Arial"/>
                <w:color w:val="000000"/>
                <w:sz w:val="22"/>
                <w:szCs w:val="22"/>
                <w:lang w:val="en-MY" w:eastAsia="en-MY"/>
              </w:rPr>
            </w:pPr>
            <w:r w:rsidRPr="00170686">
              <w:rPr>
                <w:rFonts w:cs="Arial"/>
                <w:color w:val="000000"/>
                <w:sz w:val="22"/>
                <w:szCs w:val="22"/>
                <w:lang w:val="en-MY" w:eastAsia="en-MY"/>
              </w:rPr>
              <w:t>Impact of translator education on translation profession</w:t>
            </w:r>
          </w:p>
        </w:tc>
        <w:tc>
          <w:tcPr>
            <w:tcW w:w="691" w:type="pct"/>
            <w:shd w:val="clear" w:color="auto" w:fill="auto"/>
          </w:tcPr>
          <w:p w14:paraId="6BEC4BA6"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631F230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3C8FA9F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6E78748B"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0B968001" w14:textId="77777777" w:rsidTr="00620473">
        <w:trPr>
          <w:trHeight w:val="357"/>
          <w:jc w:val="center"/>
        </w:trPr>
        <w:tc>
          <w:tcPr>
            <w:tcW w:w="2157" w:type="pct"/>
            <w:shd w:val="clear" w:color="auto" w:fill="auto"/>
          </w:tcPr>
          <w:p w14:paraId="31CA80A8" w14:textId="77777777" w:rsidR="00A70D68" w:rsidRPr="00170686" w:rsidRDefault="00A70D68" w:rsidP="00A73F4E">
            <w:pPr>
              <w:widowControl w:val="0"/>
              <w:suppressAutoHyphens/>
              <w:adjustRightInd w:val="0"/>
              <w:snapToGrid w:val="0"/>
              <w:spacing w:line="240" w:lineRule="atLeast"/>
              <w:ind w:left="338" w:hanging="338"/>
              <w:rPr>
                <w:rFonts w:cs="Arial"/>
                <w:color w:val="000000"/>
                <w:sz w:val="22"/>
                <w:szCs w:val="22"/>
                <w:lang w:val="en-MY" w:eastAsia="en-MY"/>
              </w:rPr>
            </w:pPr>
            <w:r w:rsidRPr="00170686">
              <w:rPr>
                <w:rFonts w:cs="Arial"/>
                <w:color w:val="000000"/>
                <w:sz w:val="22"/>
                <w:szCs w:val="22"/>
                <w:lang w:val="en-MY" w:eastAsia="en-MY"/>
              </w:rPr>
              <w:t>Connection between research and pedagogy</w:t>
            </w:r>
          </w:p>
        </w:tc>
        <w:tc>
          <w:tcPr>
            <w:tcW w:w="691" w:type="pct"/>
            <w:shd w:val="clear" w:color="auto" w:fill="auto"/>
          </w:tcPr>
          <w:p w14:paraId="40B66F91"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31E2F2E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6A8D70F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4F33A6E5"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078D2878" w14:textId="77777777" w:rsidTr="00620473">
        <w:trPr>
          <w:trHeight w:val="216"/>
          <w:jc w:val="center"/>
        </w:trPr>
        <w:tc>
          <w:tcPr>
            <w:tcW w:w="2157" w:type="pct"/>
            <w:shd w:val="clear" w:color="auto" w:fill="auto"/>
          </w:tcPr>
          <w:p w14:paraId="27B94D8D"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Structure of professional associations</w:t>
            </w:r>
          </w:p>
        </w:tc>
        <w:tc>
          <w:tcPr>
            <w:tcW w:w="691" w:type="pct"/>
            <w:shd w:val="clear" w:color="auto" w:fill="auto"/>
          </w:tcPr>
          <w:p w14:paraId="0AE0F3FE"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72FCFB9C"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6E4D938B"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31222FB6"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09B18881" w14:textId="77777777" w:rsidTr="00620473">
        <w:trPr>
          <w:trHeight w:val="411"/>
          <w:jc w:val="center"/>
        </w:trPr>
        <w:tc>
          <w:tcPr>
            <w:tcW w:w="2157" w:type="pct"/>
            <w:shd w:val="clear" w:color="auto" w:fill="auto"/>
          </w:tcPr>
          <w:p w14:paraId="4D5644C8"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Professional careers of translators and interpreters</w:t>
            </w:r>
          </w:p>
        </w:tc>
        <w:tc>
          <w:tcPr>
            <w:tcW w:w="691" w:type="pct"/>
            <w:shd w:val="clear" w:color="auto" w:fill="auto"/>
          </w:tcPr>
          <w:p w14:paraId="0199878C"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79F1C5FF"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4B45B40F"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4C19828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01933381" w14:textId="77777777" w:rsidTr="00620473">
        <w:trPr>
          <w:trHeight w:val="446"/>
          <w:jc w:val="center"/>
        </w:trPr>
        <w:tc>
          <w:tcPr>
            <w:tcW w:w="2157" w:type="pct"/>
            <w:shd w:val="clear" w:color="auto" w:fill="auto"/>
          </w:tcPr>
          <w:p w14:paraId="7ACE8252" w14:textId="77777777" w:rsidR="00A70D68" w:rsidRPr="00170686" w:rsidRDefault="00A70D68" w:rsidP="00A73F4E">
            <w:pPr>
              <w:widowControl w:val="0"/>
              <w:suppressAutoHyphens/>
              <w:adjustRightInd w:val="0"/>
              <w:snapToGrid w:val="0"/>
              <w:spacing w:line="240" w:lineRule="atLeast"/>
              <w:ind w:left="338" w:hanging="338"/>
              <w:rPr>
                <w:rFonts w:cs="Arial"/>
                <w:color w:val="000000"/>
                <w:sz w:val="22"/>
                <w:szCs w:val="22"/>
                <w:lang w:val="en-MY" w:eastAsia="en-MY"/>
              </w:rPr>
            </w:pPr>
            <w:r w:rsidRPr="00170686">
              <w:rPr>
                <w:rFonts w:cs="Arial"/>
                <w:color w:val="000000"/>
                <w:sz w:val="22"/>
                <w:szCs w:val="22"/>
                <w:lang w:val="en-MY" w:eastAsia="en-MY"/>
              </w:rPr>
              <w:lastRenderedPageBreak/>
              <w:t xml:space="preserve">translation in </w:t>
            </w:r>
            <w:r w:rsidRPr="00170686">
              <w:rPr>
                <w:rFonts w:cs="Arial"/>
                <w:sz w:val="22"/>
                <w:szCs w:val="22"/>
                <w:lang w:val="en-MY" w:eastAsia="en-MY"/>
              </w:rPr>
              <w:t xml:space="preserve">international marketing </w:t>
            </w:r>
            <w:r w:rsidRPr="00170686">
              <w:rPr>
                <w:rFonts w:cs="Arial"/>
                <w:color w:val="000000"/>
                <w:sz w:val="22"/>
                <w:szCs w:val="22"/>
                <w:lang w:val="en-MY" w:eastAsia="en-MY"/>
              </w:rPr>
              <w:t>and as cultural products</w:t>
            </w:r>
          </w:p>
        </w:tc>
        <w:tc>
          <w:tcPr>
            <w:tcW w:w="691" w:type="pct"/>
            <w:shd w:val="clear" w:color="auto" w:fill="auto"/>
          </w:tcPr>
          <w:p w14:paraId="5F6A6C3D"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10C7421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473F55B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63C7C310"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02D09137" w14:textId="77777777" w:rsidTr="00620473">
        <w:trPr>
          <w:trHeight w:val="410"/>
          <w:jc w:val="center"/>
        </w:trPr>
        <w:tc>
          <w:tcPr>
            <w:tcW w:w="2157" w:type="pct"/>
            <w:shd w:val="clear" w:color="auto" w:fill="auto"/>
          </w:tcPr>
          <w:p w14:paraId="072B848E" w14:textId="77777777" w:rsidR="00A70D68" w:rsidRPr="00170686" w:rsidRDefault="00A70D68" w:rsidP="00A73F4E">
            <w:pPr>
              <w:widowControl w:val="0"/>
              <w:suppressAutoHyphens/>
              <w:adjustRightInd w:val="0"/>
              <w:snapToGrid w:val="0"/>
              <w:spacing w:line="240" w:lineRule="atLeast"/>
              <w:ind w:left="338" w:hanging="338"/>
              <w:rPr>
                <w:rFonts w:cs="Arial"/>
                <w:color w:val="000000"/>
                <w:sz w:val="22"/>
                <w:szCs w:val="22"/>
                <w:lang w:val="en-MY" w:eastAsia="en-MY"/>
              </w:rPr>
            </w:pPr>
            <w:r w:rsidRPr="00170686">
              <w:rPr>
                <w:rFonts w:cs="Arial"/>
                <w:color w:val="000000"/>
                <w:sz w:val="22"/>
                <w:szCs w:val="22"/>
                <w:lang w:val="en-MY" w:eastAsia="en-MY"/>
              </w:rPr>
              <w:t>Impact of market demand on the translation profession</w:t>
            </w:r>
          </w:p>
        </w:tc>
        <w:tc>
          <w:tcPr>
            <w:tcW w:w="691" w:type="pct"/>
            <w:shd w:val="clear" w:color="auto" w:fill="auto"/>
          </w:tcPr>
          <w:p w14:paraId="2B88E0E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3D28CE6E"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61841F3F"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24AFAEC5"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60DEAEE4" w14:textId="77777777" w:rsidTr="00620473">
        <w:trPr>
          <w:trHeight w:val="165"/>
          <w:jc w:val="center"/>
        </w:trPr>
        <w:tc>
          <w:tcPr>
            <w:tcW w:w="2157" w:type="pct"/>
            <w:shd w:val="clear" w:color="auto" w:fill="auto"/>
          </w:tcPr>
          <w:p w14:paraId="165F8FB3" w14:textId="77777777" w:rsidR="00A70D68" w:rsidRPr="00170686" w:rsidRDefault="00A70D68" w:rsidP="00A73F4E">
            <w:pPr>
              <w:widowControl w:val="0"/>
              <w:suppressAutoHyphens/>
              <w:adjustRightInd w:val="0"/>
              <w:snapToGrid w:val="0"/>
              <w:spacing w:line="240" w:lineRule="atLeast"/>
              <w:ind w:left="338" w:hanging="338"/>
              <w:rPr>
                <w:rFonts w:cs="Arial"/>
                <w:color w:val="000000"/>
                <w:sz w:val="22"/>
                <w:szCs w:val="22"/>
                <w:lang w:val="en-MY" w:eastAsia="en-MY"/>
              </w:rPr>
            </w:pPr>
            <w:r w:rsidRPr="00170686">
              <w:rPr>
                <w:rFonts w:cs="Arial"/>
                <w:color w:val="000000"/>
                <w:sz w:val="22"/>
                <w:szCs w:val="22"/>
                <w:lang w:val="en-MY" w:eastAsia="en-MY"/>
              </w:rPr>
              <w:t>Role of translation in expressing social and political movements</w:t>
            </w:r>
          </w:p>
        </w:tc>
        <w:tc>
          <w:tcPr>
            <w:tcW w:w="691" w:type="pct"/>
            <w:shd w:val="clear" w:color="auto" w:fill="auto"/>
          </w:tcPr>
          <w:p w14:paraId="6B1879A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24FFF24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09FE7C51"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02F3DFD5"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3AD6A7CA" w14:textId="77777777" w:rsidTr="00620473">
        <w:trPr>
          <w:trHeight w:val="189"/>
          <w:jc w:val="center"/>
        </w:trPr>
        <w:tc>
          <w:tcPr>
            <w:tcW w:w="2157" w:type="pct"/>
            <w:shd w:val="clear" w:color="auto" w:fill="auto"/>
          </w:tcPr>
          <w:p w14:paraId="59E849BB" w14:textId="321F70DA" w:rsidR="00A70D68" w:rsidRPr="00170686" w:rsidRDefault="00A70D68" w:rsidP="00A73F4E">
            <w:pPr>
              <w:widowControl w:val="0"/>
              <w:suppressAutoHyphens/>
              <w:adjustRightInd w:val="0"/>
              <w:snapToGrid w:val="0"/>
              <w:spacing w:line="240" w:lineRule="atLeast"/>
              <w:ind w:left="338" w:hanging="338"/>
              <w:rPr>
                <w:rFonts w:cs="Arial"/>
                <w:color w:val="000000"/>
                <w:sz w:val="22"/>
                <w:szCs w:val="22"/>
                <w:lang w:val="en-MY" w:eastAsia="en-MY"/>
              </w:rPr>
            </w:pPr>
            <w:r w:rsidRPr="00170686">
              <w:rPr>
                <w:rFonts w:cs="Arial"/>
                <w:color w:val="000000"/>
                <w:sz w:val="22"/>
                <w:szCs w:val="22"/>
                <w:lang w:val="en-MY" w:eastAsia="en-MY"/>
              </w:rPr>
              <w:t>Translation in a globali</w:t>
            </w:r>
            <w:r w:rsidR="005666AD">
              <w:rPr>
                <w:rFonts w:cs="Arial"/>
                <w:color w:val="000000"/>
                <w:sz w:val="22"/>
                <w:szCs w:val="22"/>
                <w:lang w:val="en-MY" w:eastAsia="en-MY"/>
              </w:rPr>
              <w:t>s</w:t>
            </w:r>
            <w:r w:rsidRPr="00170686">
              <w:rPr>
                <w:rFonts w:cs="Arial"/>
                <w:color w:val="000000"/>
                <w:sz w:val="22"/>
                <w:szCs w:val="22"/>
                <w:lang w:val="en-MY" w:eastAsia="en-MY"/>
              </w:rPr>
              <w:t>ed world</w:t>
            </w:r>
          </w:p>
        </w:tc>
        <w:tc>
          <w:tcPr>
            <w:tcW w:w="691" w:type="pct"/>
            <w:shd w:val="clear" w:color="auto" w:fill="auto"/>
          </w:tcPr>
          <w:p w14:paraId="3F6160CD"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15CB7875"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39D8EE21"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523448B8"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102C24CD" w14:textId="77777777" w:rsidTr="00620473">
        <w:trPr>
          <w:trHeight w:val="198"/>
          <w:jc w:val="center"/>
        </w:trPr>
        <w:tc>
          <w:tcPr>
            <w:tcW w:w="2157" w:type="pct"/>
            <w:shd w:val="clear" w:color="auto" w:fill="auto"/>
          </w:tcPr>
          <w:p w14:paraId="57EFCE44"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Translation and activism</w:t>
            </w:r>
          </w:p>
        </w:tc>
        <w:tc>
          <w:tcPr>
            <w:tcW w:w="691" w:type="pct"/>
            <w:shd w:val="clear" w:color="auto" w:fill="auto"/>
          </w:tcPr>
          <w:p w14:paraId="25C8F766"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29C7BEBA"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6EECA1A9"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0702C42A"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67F51FE0" w14:textId="77777777" w:rsidTr="00620473">
        <w:trPr>
          <w:trHeight w:val="270"/>
          <w:jc w:val="center"/>
        </w:trPr>
        <w:tc>
          <w:tcPr>
            <w:tcW w:w="2157" w:type="pct"/>
            <w:shd w:val="clear" w:color="auto" w:fill="auto"/>
          </w:tcPr>
          <w:p w14:paraId="088C8007"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Behaviour of translators as agents, groups, or institutions</w:t>
            </w:r>
          </w:p>
        </w:tc>
        <w:tc>
          <w:tcPr>
            <w:tcW w:w="691" w:type="pct"/>
            <w:shd w:val="clear" w:color="auto" w:fill="auto"/>
          </w:tcPr>
          <w:p w14:paraId="11183ED3"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6A2ED38E"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2176E38D"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6904607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071CBBF1" w14:textId="77777777" w:rsidTr="00620473">
        <w:trPr>
          <w:trHeight w:val="259"/>
          <w:jc w:val="center"/>
        </w:trPr>
        <w:tc>
          <w:tcPr>
            <w:tcW w:w="2157" w:type="pct"/>
            <w:shd w:val="clear" w:color="auto" w:fill="auto"/>
          </w:tcPr>
          <w:p w14:paraId="41D4B721"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Agents’ social status</w:t>
            </w:r>
          </w:p>
        </w:tc>
        <w:tc>
          <w:tcPr>
            <w:tcW w:w="691" w:type="pct"/>
            <w:shd w:val="clear" w:color="auto" w:fill="auto"/>
          </w:tcPr>
          <w:p w14:paraId="1882564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5B342A0C"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7B3DE2CD"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1032C784"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31F50391" w14:textId="77777777" w:rsidTr="00620473">
        <w:trPr>
          <w:trHeight w:val="172"/>
          <w:jc w:val="center"/>
        </w:trPr>
        <w:tc>
          <w:tcPr>
            <w:tcW w:w="2157" w:type="pct"/>
            <w:shd w:val="clear" w:color="auto" w:fill="auto"/>
          </w:tcPr>
          <w:p w14:paraId="7462CDBC"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Agents’ networks</w:t>
            </w:r>
          </w:p>
        </w:tc>
        <w:tc>
          <w:tcPr>
            <w:tcW w:w="691" w:type="pct"/>
            <w:shd w:val="clear" w:color="auto" w:fill="auto"/>
          </w:tcPr>
          <w:p w14:paraId="0D7BA68D"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shd w:val="clear" w:color="auto" w:fill="auto"/>
          </w:tcPr>
          <w:p w14:paraId="5BB12F6F"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shd w:val="clear" w:color="auto" w:fill="auto"/>
          </w:tcPr>
          <w:p w14:paraId="3775A8B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shd w:val="clear" w:color="auto" w:fill="auto"/>
          </w:tcPr>
          <w:p w14:paraId="37D643D5"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r w:rsidR="00A70D68" w:rsidRPr="00170686" w14:paraId="3D66A0A9" w14:textId="77777777" w:rsidTr="00620473">
        <w:trPr>
          <w:trHeight w:val="336"/>
          <w:jc w:val="center"/>
        </w:trPr>
        <w:tc>
          <w:tcPr>
            <w:tcW w:w="2157" w:type="pct"/>
            <w:tcBorders>
              <w:bottom w:val="single" w:sz="12" w:space="0" w:color="auto"/>
            </w:tcBorders>
            <w:shd w:val="clear" w:color="auto" w:fill="auto"/>
          </w:tcPr>
          <w:p w14:paraId="1F96AC91" w14:textId="77777777" w:rsidR="00A70D68" w:rsidRPr="00170686" w:rsidRDefault="00A70D68" w:rsidP="00A73F4E">
            <w:pPr>
              <w:widowControl w:val="0"/>
              <w:suppressAutoHyphens/>
              <w:adjustRightInd w:val="0"/>
              <w:snapToGrid w:val="0"/>
              <w:spacing w:line="240" w:lineRule="atLeast"/>
              <w:ind w:left="338" w:hanging="338"/>
              <w:rPr>
                <w:rFonts w:cs="Arial"/>
                <w:sz w:val="22"/>
                <w:szCs w:val="22"/>
                <w:lang w:val="en-MY" w:eastAsia="en-MY"/>
              </w:rPr>
            </w:pPr>
            <w:r w:rsidRPr="00170686">
              <w:rPr>
                <w:rFonts w:cs="Arial"/>
                <w:sz w:val="22"/>
                <w:szCs w:val="22"/>
                <w:lang w:val="en-MY" w:eastAsia="en-MY"/>
              </w:rPr>
              <w:t>Agents’ interactions with other groups (and technology)</w:t>
            </w:r>
          </w:p>
        </w:tc>
        <w:tc>
          <w:tcPr>
            <w:tcW w:w="691" w:type="pct"/>
            <w:tcBorders>
              <w:bottom w:val="single" w:sz="12" w:space="0" w:color="auto"/>
            </w:tcBorders>
            <w:shd w:val="clear" w:color="auto" w:fill="auto"/>
          </w:tcPr>
          <w:p w14:paraId="7266F6D0"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54" w:type="pct"/>
            <w:tcBorders>
              <w:bottom w:val="single" w:sz="12" w:space="0" w:color="auto"/>
            </w:tcBorders>
            <w:shd w:val="clear" w:color="auto" w:fill="auto"/>
          </w:tcPr>
          <w:p w14:paraId="731775FB"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770" w:type="pct"/>
            <w:tcBorders>
              <w:bottom w:val="single" w:sz="12" w:space="0" w:color="auto"/>
            </w:tcBorders>
            <w:shd w:val="clear" w:color="auto" w:fill="auto"/>
          </w:tcPr>
          <w:p w14:paraId="66161817"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c>
          <w:tcPr>
            <w:tcW w:w="629" w:type="pct"/>
            <w:tcBorders>
              <w:bottom w:val="single" w:sz="12" w:space="0" w:color="auto"/>
            </w:tcBorders>
            <w:shd w:val="clear" w:color="auto" w:fill="auto"/>
          </w:tcPr>
          <w:p w14:paraId="78A71892" w14:textId="77777777" w:rsidR="00A70D68" w:rsidRPr="00170686" w:rsidRDefault="00A70D68" w:rsidP="00170686">
            <w:pPr>
              <w:widowControl w:val="0"/>
              <w:suppressAutoHyphens/>
              <w:adjustRightInd w:val="0"/>
              <w:snapToGrid w:val="0"/>
              <w:spacing w:line="240" w:lineRule="atLeast"/>
              <w:jc w:val="center"/>
              <w:rPr>
                <w:rFonts w:cs="Arial"/>
                <w:color w:val="000000"/>
                <w:sz w:val="22"/>
                <w:szCs w:val="22"/>
                <w:lang w:val="en-MY" w:eastAsia="en-MY"/>
              </w:rPr>
            </w:pPr>
            <w:r w:rsidRPr="00170686">
              <w:rPr>
                <w:rFonts w:cs="Arial"/>
                <w:color w:val="000000"/>
                <w:sz w:val="22"/>
                <w:szCs w:val="22"/>
                <w:lang w:val="en-MY" w:eastAsia="en-MY"/>
              </w:rPr>
              <w:t>√</w:t>
            </w:r>
          </w:p>
        </w:tc>
      </w:tr>
    </w:tbl>
    <w:p w14:paraId="3EBA6422" w14:textId="251AB252" w:rsidR="00620473" w:rsidRDefault="00620473" w:rsidP="00D743BB">
      <w:pPr>
        <w:pStyle w:val="Nadpis2"/>
        <w:keepNext w:val="0"/>
        <w:spacing w:before="240" w:after="0"/>
        <w:ind w:firstLine="709"/>
        <w:jc w:val="both"/>
        <w:rPr>
          <w:i w:val="0"/>
        </w:rPr>
      </w:pPr>
      <w:r w:rsidRPr="0015768C">
        <w:rPr>
          <w:i w:val="0"/>
        </w:rPr>
        <w:t xml:space="preserve">Table 1 indicates that the tripartite model proposed by Wolf (2007) covers the main areas delineated by other experts. Heilbron </w:t>
      </w:r>
      <w:r>
        <w:rPr>
          <w:i w:val="0"/>
        </w:rPr>
        <w:t>&amp;</w:t>
      </w:r>
      <w:r w:rsidRPr="0015768C">
        <w:rPr>
          <w:i w:val="0"/>
        </w:rPr>
        <w:t xml:space="preserve"> Sapiro’s (2007) socio-economic proposal mainly deals with the sociology of translation agents and translation product, but it does not address the translation process, or the educational, or cultural aspects. The behavioural agent-oriented model offered by Chesterman (2009) seems to ignore those areas related to the process and product of translation.</w:t>
      </w:r>
    </w:p>
    <w:p w14:paraId="0FA05448" w14:textId="10D3B6DB" w:rsidR="00620473" w:rsidRDefault="00620473" w:rsidP="00620473">
      <w:pPr>
        <w:pStyle w:val="Nadpis2"/>
        <w:keepNext w:val="0"/>
        <w:ind w:firstLine="708"/>
        <w:contextualSpacing/>
        <w:jc w:val="both"/>
        <w:rPr>
          <w:i w:val="0"/>
        </w:rPr>
      </w:pPr>
      <w:r w:rsidRPr="0015768C">
        <w:rPr>
          <w:i w:val="0"/>
        </w:rPr>
        <w:t xml:space="preserve">Although we can state that the broad encyclopaedic definition by </w:t>
      </w:r>
      <w:proofErr w:type="spellStart"/>
      <w:r w:rsidRPr="0015768C">
        <w:rPr>
          <w:i w:val="0"/>
        </w:rPr>
        <w:t>Inghilleri</w:t>
      </w:r>
      <w:proofErr w:type="spellEnd"/>
      <w:r w:rsidRPr="0015768C">
        <w:rPr>
          <w:i w:val="0"/>
        </w:rPr>
        <w:t xml:space="preserve"> (2009) is one of the most comprehensive arrangements that deals with many areas of research on the </w:t>
      </w:r>
      <w:proofErr w:type="spellStart"/>
      <w:r w:rsidRPr="0015768C">
        <w:rPr>
          <w:i w:val="0"/>
        </w:rPr>
        <w:t>S</w:t>
      </w:r>
      <w:r>
        <w:rPr>
          <w:i w:val="0"/>
        </w:rPr>
        <w:t>o</w:t>
      </w:r>
      <w:r w:rsidRPr="0015768C">
        <w:rPr>
          <w:i w:val="0"/>
        </w:rPr>
        <w:t>T</w:t>
      </w:r>
      <w:proofErr w:type="spellEnd"/>
      <w:r w:rsidRPr="0015768C">
        <w:rPr>
          <w:i w:val="0"/>
        </w:rPr>
        <w:t xml:space="preserve">, Wolf’s (2007) definition is the most systematic. Therefore, for the sake of systematicity and representativeness of key areas, the authors of the current study decided to use Wolf’s (2007) definition to draw a tentative map of research on the </w:t>
      </w:r>
      <w:proofErr w:type="spellStart"/>
      <w:r w:rsidRPr="0015768C">
        <w:rPr>
          <w:i w:val="0"/>
        </w:rPr>
        <w:t>S</w:t>
      </w:r>
      <w:r>
        <w:rPr>
          <w:i w:val="0"/>
        </w:rPr>
        <w:t>o</w:t>
      </w:r>
      <w:r w:rsidRPr="0015768C">
        <w:rPr>
          <w:i w:val="0"/>
        </w:rPr>
        <w:t>T</w:t>
      </w:r>
      <w:proofErr w:type="spellEnd"/>
      <w:r w:rsidRPr="0015768C">
        <w:rPr>
          <w:i w:val="0"/>
        </w:rPr>
        <w:t xml:space="preserve"> and to portray which of those areas had been explored by Iranian postgraduate students.</w:t>
      </w:r>
    </w:p>
    <w:p w14:paraId="14CDFF2A" w14:textId="7AB1DA33" w:rsidR="00620473" w:rsidRDefault="00C37EEE">
      <w:pPr>
        <w:pStyle w:val="Nadpis2"/>
        <w:keepNext w:val="0"/>
        <w:ind w:firstLine="708"/>
        <w:contextualSpacing/>
        <w:jc w:val="both"/>
        <w:rPr>
          <w:i w:val="0"/>
        </w:rPr>
      </w:pPr>
      <w:r w:rsidRPr="00AB2609">
        <w:rPr>
          <w:noProof/>
          <w:lang w:val="sk-SK" w:eastAsia="sk-SK"/>
        </w:rPr>
        <w:drawing>
          <wp:anchor distT="0" distB="107950" distL="114300" distR="114300" simplePos="0" relativeHeight="251664384" behindDoc="0" locked="0" layoutInCell="1" allowOverlap="1" wp14:anchorId="05E2E5E8" wp14:editId="39B09C46">
            <wp:simplePos x="0" y="0"/>
            <wp:positionH relativeFrom="margin">
              <wp:align>center</wp:align>
            </wp:positionH>
            <wp:positionV relativeFrom="paragraph">
              <wp:posOffset>1550670</wp:posOffset>
            </wp:positionV>
            <wp:extent cx="5345430" cy="946785"/>
            <wp:effectExtent l="0" t="0" r="7620" b="5715"/>
            <wp:wrapTopAndBottom/>
            <wp:docPr id="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5430" cy="946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473" w:rsidRPr="0015768C">
        <w:rPr>
          <w:i w:val="0"/>
        </w:rPr>
        <w:t xml:space="preserve">Figure 1 illustrates a basic map of the </w:t>
      </w:r>
      <w:proofErr w:type="spellStart"/>
      <w:r w:rsidR="00620473" w:rsidRPr="0015768C">
        <w:rPr>
          <w:i w:val="0"/>
        </w:rPr>
        <w:t>S</w:t>
      </w:r>
      <w:r w:rsidR="00620473">
        <w:rPr>
          <w:i w:val="0"/>
        </w:rPr>
        <w:t>o</w:t>
      </w:r>
      <w:r w:rsidR="00620473" w:rsidRPr="0015768C">
        <w:rPr>
          <w:i w:val="0"/>
        </w:rPr>
        <w:t>T</w:t>
      </w:r>
      <w:proofErr w:type="spellEnd"/>
      <w:r w:rsidR="00620473" w:rsidRPr="0015768C">
        <w:rPr>
          <w:i w:val="0"/>
        </w:rPr>
        <w:t xml:space="preserve"> based on Wolf (2007). The illustration displays the three broad areas (i.e. sociology of the translation agents</w:t>
      </w:r>
      <w:r w:rsidR="00620473">
        <w:rPr>
          <w:i w:val="0"/>
        </w:rPr>
        <w:t>,</w:t>
      </w:r>
      <w:r w:rsidR="00620473" w:rsidRPr="0015768C">
        <w:rPr>
          <w:i w:val="0"/>
        </w:rPr>
        <w:t xml:space="preserve"> sociology of the translation process</w:t>
      </w:r>
      <w:r w:rsidR="00620473">
        <w:rPr>
          <w:i w:val="0"/>
        </w:rPr>
        <w:t>,</w:t>
      </w:r>
      <w:r w:rsidR="00620473" w:rsidRPr="0015768C">
        <w:rPr>
          <w:i w:val="0"/>
        </w:rPr>
        <w:t xml:space="preserve"> and sociology of the translation product) depicted in Table 1 as a tentative extension of a map of translation studies by Doorslaer (2007) </w:t>
      </w:r>
      <w:r w:rsidR="00DD0953">
        <w:rPr>
          <w:i w:val="0"/>
        </w:rPr>
        <w:t>o</w:t>
      </w:r>
      <w:r w:rsidR="00620473" w:rsidRPr="0015768C">
        <w:rPr>
          <w:i w:val="0"/>
        </w:rPr>
        <w:t xml:space="preserve">n which he placed the </w:t>
      </w:r>
      <w:r w:rsidR="00620473" w:rsidRPr="00DD0953">
        <w:rPr>
          <w:i w:val="0"/>
        </w:rPr>
        <w:t>sociological approach</w:t>
      </w:r>
      <w:r w:rsidR="00620473" w:rsidRPr="0015768C">
        <w:rPr>
          <w:i w:val="0"/>
        </w:rPr>
        <w:t xml:space="preserve"> under the branch</w:t>
      </w:r>
      <w:r w:rsidR="00DD0953">
        <w:rPr>
          <w:i w:val="0"/>
        </w:rPr>
        <w:t xml:space="preserve"> marked</w:t>
      </w:r>
      <w:r w:rsidR="00620473" w:rsidRPr="0015768C">
        <w:rPr>
          <w:i w:val="0"/>
        </w:rPr>
        <w:t xml:space="preserve"> </w:t>
      </w:r>
      <w:r w:rsidR="00DD0953" w:rsidRPr="009F3EB9">
        <w:rPr>
          <w:iCs/>
        </w:rPr>
        <w:t>approaches</w:t>
      </w:r>
      <w:r w:rsidR="00DD0953">
        <w:rPr>
          <w:i w:val="0"/>
        </w:rPr>
        <w:t xml:space="preserve"> </w:t>
      </w:r>
      <w:r w:rsidR="00620473" w:rsidRPr="0015768C">
        <w:rPr>
          <w:i w:val="0"/>
        </w:rPr>
        <w:t xml:space="preserve">of his proposal. In addition to the major topics and areas of research, there are some sociological theories and models adopted from the field of sociology. These theories and models facilitated the integration of sociological research methods into the </w:t>
      </w:r>
      <w:proofErr w:type="spellStart"/>
      <w:r w:rsidR="00620473" w:rsidRPr="0015768C">
        <w:rPr>
          <w:i w:val="0"/>
        </w:rPr>
        <w:t>interdiscipline</w:t>
      </w:r>
      <w:proofErr w:type="spellEnd"/>
      <w:r w:rsidR="00620473" w:rsidRPr="0015768C">
        <w:rPr>
          <w:i w:val="0"/>
        </w:rPr>
        <w:t xml:space="preserve"> of translation.</w:t>
      </w:r>
    </w:p>
    <w:p w14:paraId="3F10E30B" w14:textId="62970CA1" w:rsidR="00620473" w:rsidRPr="00F15814" w:rsidRDefault="00620473" w:rsidP="00620473">
      <w:pPr>
        <w:spacing w:before="240" w:after="120" w:line="480" w:lineRule="auto"/>
        <w:rPr>
          <w:lang w:val="en-GB" w:eastAsia="en-GB"/>
        </w:rPr>
      </w:pPr>
      <w:r w:rsidRPr="00AB2609">
        <w:rPr>
          <w:lang w:val="en-GB" w:eastAsia="en-GB"/>
        </w:rPr>
        <w:t>Figure 1</w:t>
      </w:r>
      <w:r>
        <w:rPr>
          <w:lang w:val="en-GB" w:eastAsia="en-GB"/>
        </w:rPr>
        <w:t>:</w:t>
      </w:r>
      <w:r w:rsidRPr="00AB2609">
        <w:rPr>
          <w:lang w:val="en-GB" w:eastAsia="en-GB"/>
        </w:rPr>
        <w:t xml:space="preserve"> </w:t>
      </w:r>
      <w:r w:rsidR="00C262BA">
        <w:rPr>
          <w:lang w:val="en-GB" w:eastAsia="en-GB"/>
        </w:rPr>
        <w:t>T</w:t>
      </w:r>
      <w:r w:rsidRPr="00AB2609">
        <w:rPr>
          <w:lang w:val="en-GB" w:eastAsia="en-GB"/>
        </w:rPr>
        <w:t xml:space="preserve">entative map of the </w:t>
      </w:r>
      <w:proofErr w:type="spellStart"/>
      <w:r w:rsidRPr="00AB2609">
        <w:rPr>
          <w:lang w:val="en-GB" w:eastAsia="en-GB"/>
        </w:rPr>
        <w:t>SoT</w:t>
      </w:r>
      <w:proofErr w:type="spellEnd"/>
      <w:r w:rsidRPr="00AB2609">
        <w:rPr>
          <w:lang w:val="en-GB" w:eastAsia="en-GB"/>
        </w:rPr>
        <w:t xml:space="preserve"> based on Doorslaer (2007) and Wolf (2007)</w:t>
      </w:r>
    </w:p>
    <w:p w14:paraId="3B264007" w14:textId="27D8FB94" w:rsidR="00D55F66" w:rsidRPr="00D743BB" w:rsidRDefault="00620473" w:rsidP="00585336">
      <w:pPr>
        <w:pStyle w:val="Nadpis2"/>
        <w:keepNext w:val="0"/>
        <w:spacing w:before="0" w:after="0"/>
        <w:ind w:firstLine="708"/>
        <w:contextualSpacing/>
        <w:jc w:val="both"/>
        <w:rPr>
          <w:i w:val="0"/>
        </w:rPr>
      </w:pPr>
      <w:r w:rsidRPr="00F15814">
        <w:rPr>
          <w:i w:val="0"/>
        </w:rPr>
        <w:lastRenderedPageBreak/>
        <w:t>Chief among the sociological theories and models that were borrowed by the field of translation studies are Bourdieu’s theoretical frameworks, Latour’s Actor-Network Theory (ANT), and Luhmann’s theory of social systems (</w:t>
      </w:r>
      <w:proofErr w:type="spellStart"/>
      <w:r w:rsidRPr="00F15814">
        <w:rPr>
          <w:i w:val="0"/>
        </w:rPr>
        <w:t>Buzelin</w:t>
      </w:r>
      <w:proofErr w:type="spellEnd"/>
      <w:r w:rsidRPr="00F15814">
        <w:rPr>
          <w:i w:val="0"/>
        </w:rPr>
        <w:t xml:space="preserve"> 2005; </w:t>
      </w:r>
      <w:proofErr w:type="spellStart"/>
      <w:r w:rsidRPr="00F15814">
        <w:rPr>
          <w:i w:val="0"/>
        </w:rPr>
        <w:t>Inghilleri</w:t>
      </w:r>
      <w:proofErr w:type="spellEnd"/>
      <w:r w:rsidRPr="00F15814">
        <w:rPr>
          <w:i w:val="0"/>
        </w:rPr>
        <w:t xml:space="preserve"> 2005</w:t>
      </w:r>
      <w:r>
        <w:rPr>
          <w:i w:val="0"/>
        </w:rPr>
        <w:t xml:space="preserve">, </w:t>
      </w:r>
      <w:r w:rsidRPr="00F15814">
        <w:rPr>
          <w:i w:val="0"/>
        </w:rPr>
        <w:t xml:space="preserve">2009; </w:t>
      </w:r>
      <w:proofErr w:type="spellStart"/>
      <w:r w:rsidRPr="00F15814">
        <w:rPr>
          <w:i w:val="0"/>
        </w:rPr>
        <w:t>Tyulenev</w:t>
      </w:r>
      <w:proofErr w:type="spellEnd"/>
      <w:r w:rsidRPr="00F15814">
        <w:rPr>
          <w:i w:val="0"/>
        </w:rPr>
        <w:t xml:space="preserve"> 2012</w:t>
      </w:r>
      <w:r>
        <w:rPr>
          <w:i w:val="0"/>
        </w:rPr>
        <w:t xml:space="preserve">, </w:t>
      </w:r>
      <w:r w:rsidRPr="00F15814">
        <w:rPr>
          <w:i w:val="0"/>
        </w:rPr>
        <w:t>2013). These theories, in turn, have brought in several key terms such as field, habitus, capital, actor, and network, each of which constitutes an area of investigation in the sociology of translation (</w:t>
      </w:r>
      <w:proofErr w:type="spellStart"/>
      <w:r w:rsidR="00585336" w:rsidRPr="00F15814">
        <w:rPr>
          <w:i w:val="0"/>
        </w:rPr>
        <w:t>Inghilleri</w:t>
      </w:r>
      <w:proofErr w:type="spellEnd"/>
      <w:r w:rsidR="00585336" w:rsidRPr="00F15814">
        <w:rPr>
          <w:i w:val="0"/>
        </w:rPr>
        <w:t xml:space="preserve"> 2003</w:t>
      </w:r>
      <w:r w:rsidR="00585336">
        <w:rPr>
          <w:i w:val="0"/>
        </w:rPr>
        <w:t xml:space="preserve">; </w:t>
      </w:r>
      <w:proofErr w:type="spellStart"/>
      <w:r w:rsidR="00AA3F24" w:rsidRPr="00F15814">
        <w:rPr>
          <w:i w:val="0"/>
        </w:rPr>
        <w:t>Gouanvic</w:t>
      </w:r>
      <w:proofErr w:type="spellEnd"/>
      <w:r w:rsidR="00AA3F24" w:rsidRPr="00F15814">
        <w:rPr>
          <w:i w:val="0"/>
        </w:rPr>
        <w:t xml:space="preserve"> 2005; </w:t>
      </w:r>
      <w:proofErr w:type="spellStart"/>
      <w:r w:rsidRPr="00F15814">
        <w:rPr>
          <w:i w:val="0"/>
        </w:rPr>
        <w:t>Vorderobermeier</w:t>
      </w:r>
      <w:proofErr w:type="spellEnd"/>
      <w:r w:rsidRPr="00F15814">
        <w:rPr>
          <w:i w:val="0"/>
        </w:rPr>
        <w:t xml:space="preserve"> 2014).</w:t>
      </w:r>
    </w:p>
    <w:p w14:paraId="24A99E4C" w14:textId="2B2139CA" w:rsidR="009D7A4D" w:rsidRPr="009D7A4D" w:rsidRDefault="0093442E">
      <w:pPr>
        <w:pStyle w:val="Podtitul"/>
        <w:contextualSpacing/>
        <w:jc w:val="both"/>
        <w:rPr>
          <w:b w:val="0"/>
          <w:bCs w:val="0"/>
          <w:lang w:val="en-GB"/>
        </w:rPr>
      </w:pPr>
      <w:r>
        <w:tab/>
      </w:r>
      <w:r w:rsidR="009D7A4D" w:rsidRPr="009D7A4D">
        <w:rPr>
          <w:b w:val="0"/>
          <w:bCs w:val="0"/>
          <w:lang w:val="en-GB"/>
        </w:rPr>
        <w:t xml:space="preserve">The aim of the </w:t>
      </w:r>
      <w:r w:rsidR="009D7A4D" w:rsidRPr="00AA3F24">
        <w:rPr>
          <w:b w:val="0"/>
          <w:bCs w:val="0"/>
          <w:i/>
          <w:iCs/>
          <w:lang w:val="en-GB"/>
        </w:rPr>
        <w:t>sociology of translation</w:t>
      </w:r>
      <w:r w:rsidR="009D7A4D" w:rsidRPr="009D7A4D">
        <w:rPr>
          <w:b w:val="0"/>
          <w:bCs w:val="0"/>
          <w:lang w:val="en-GB"/>
        </w:rPr>
        <w:t xml:space="preserve"> is to study translation from a sociological point of view. In fact, sociology is a far-reaching field of study. It deals not only with sociological phenomena, but also with many cultural, political, and economic arenas. Since there are other </w:t>
      </w:r>
      <w:r w:rsidR="009D7A4D" w:rsidRPr="00AA3F24">
        <w:rPr>
          <w:b w:val="0"/>
          <w:bCs w:val="0"/>
          <w:i/>
          <w:iCs/>
          <w:lang w:val="en-GB"/>
        </w:rPr>
        <w:t>approaches</w:t>
      </w:r>
      <w:r w:rsidR="009D7A4D" w:rsidRPr="009D7A4D">
        <w:rPr>
          <w:b w:val="0"/>
          <w:bCs w:val="0"/>
          <w:lang w:val="en-GB"/>
        </w:rPr>
        <w:t xml:space="preserve"> to the study of translation in general, it is sometimes difficult, for example, to differentiate between cultural and sociological areas.</w:t>
      </w:r>
    </w:p>
    <w:p w14:paraId="6E188F1E" w14:textId="1D6E983C" w:rsidR="00143446" w:rsidRDefault="009D7A4D" w:rsidP="00123CBC">
      <w:pPr>
        <w:pStyle w:val="Podtitul"/>
        <w:ind w:firstLine="709"/>
        <w:jc w:val="both"/>
        <w:rPr>
          <w:b w:val="0"/>
          <w:bCs w:val="0"/>
          <w:lang w:val="en-GB"/>
        </w:rPr>
      </w:pPr>
      <w:r w:rsidRPr="009D7A4D">
        <w:rPr>
          <w:b w:val="0"/>
          <w:bCs w:val="0"/>
          <w:lang w:val="en-GB"/>
        </w:rPr>
        <w:t xml:space="preserve">In the present study, the researchers decided that activism was mainly a sociological area of research, as it is exercised via the translators’ agency (Dimitriu 2010; Wolf 2012). Because of this interconnection, it is not easy to fix the borderline between the fields. For example, based on </w:t>
      </w:r>
      <w:proofErr w:type="spellStart"/>
      <w:r w:rsidRPr="009D7A4D">
        <w:rPr>
          <w:b w:val="0"/>
          <w:bCs w:val="0"/>
          <w:lang w:val="en-GB"/>
        </w:rPr>
        <w:t>Inghilleri’s</w:t>
      </w:r>
      <w:proofErr w:type="spellEnd"/>
      <w:r w:rsidRPr="009D7A4D">
        <w:rPr>
          <w:b w:val="0"/>
          <w:bCs w:val="0"/>
          <w:lang w:val="en-GB"/>
        </w:rPr>
        <w:t xml:space="preserve"> (2009) definition, many areas related to translator education and training were classified under the sociological domain, but we know that they are also investigated, for example, within functional and psychological approaches. To solve this problem, the scope of the present research was narrowed down so that predominantly cultural, ideological, and educational issues were excluded from the scope of the study. This was also in line with the mainstream definitions and models (</w:t>
      </w:r>
      <w:r w:rsidR="00AA3F24" w:rsidRPr="009D7A4D">
        <w:rPr>
          <w:b w:val="0"/>
          <w:bCs w:val="0"/>
          <w:lang w:val="en-GB"/>
        </w:rPr>
        <w:t xml:space="preserve">Pym 2006; Heilbron </w:t>
      </w:r>
      <w:r w:rsidR="00AA3F24">
        <w:rPr>
          <w:b w:val="0"/>
          <w:bCs w:val="0"/>
          <w:lang w:val="en-GB"/>
        </w:rPr>
        <w:t>&amp;</w:t>
      </w:r>
      <w:r w:rsidR="00AA3F24" w:rsidRPr="009D7A4D">
        <w:rPr>
          <w:b w:val="0"/>
          <w:bCs w:val="0"/>
          <w:lang w:val="en-GB"/>
        </w:rPr>
        <w:t xml:space="preserve"> Sapiro 2007;</w:t>
      </w:r>
      <w:r w:rsidR="00AA3F24">
        <w:rPr>
          <w:b w:val="0"/>
          <w:bCs w:val="0"/>
          <w:lang w:val="en-GB"/>
        </w:rPr>
        <w:t xml:space="preserve"> </w:t>
      </w:r>
      <w:r w:rsidR="00AA3F24" w:rsidRPr="009D7A4D">
        <w:rPr>
          <w:b w:val="0"/>
          <w:bCs w:val="0"/>
          <w:lang w:val="en-GB"/>
        </w:rPr>
        <w:t>Wolf 2007</w:t>
      </w:r>
      <w:r w:rsidR="00AA3F24">
        <w:rPr>
          <w:b w:val="0"/>
          <w:bCs w:val="0"/>
          <w:lang w:val="en-GB"/>
        </w:rPr>
        <w:t xml:space="preserve">; </w:t>
      </w:r>
      <w:r w:rsidR="0067312D" w:rsidRPr="009D7A4D">
        <w:rPr>
          <w:b w:val="0"/>
          <w:bCs w:val="0"/>
          <w:lang w:val="en-GB"/>
        </w:rPr>
        <w:t>Chesterman 2009</w:t>
      </w:r>
      <w:r w:rsidRPr="009D7A4D">
        <w:rPr>
          <w:b w:val="0"/>
          <w:bCs w:val="0"/>
          <w:lang w:val="en-GB"/>
        </w:rPr>
        <w:t>).</w:t>
      </w:r>
    </w:p>
    <w:p w14:paraId="48DE423C" w14:textId="5A59B7A4" w:rsidR="00143446" w:rsidRPr="00123CBC" w:rsidRDefault="00143446" w:rsidP="00123CBC">
      <w:pPr>
        <w:pStyle w:val="Nadpis1"/>
        <w:numPr>
          <w:ilvl w:val="0"/>
          <w:numId w:val="1"/>
        </w:numPr>
        <w:spacing w:before="560" w:after="280"/>
        <w:ind w:left="425" w:hanging="425"/>
        <w:contextualSpacing/>
      </w:pPr>
      <w:r>
        <w:t>Method</w:t>
      </w:r>
      <w:r w:rsidR="00EA1689">
        <w:t>s</w:t>
      </w:r>
    </w:p>
    <w:p w14:paraId="66636D84" w14:textId="58FD7E0B" w:rsidR="0093010A" w:rsidRDefault="00143446" w:rsidP="00EA1689">
      <w:pPr>
        <w:pStyle w:val="Podtitul"/>
        <w:jc w:val="both"/>
        <w:rPr>
          <w:b w:val="0"/>
          <w:bCs w:val="0"/>
          <w:lang w:val="en-GB"/>
        </w:rPr>
      </w:pPr>
      <w:r w:rsidRPr="00143446">
        <w:rPr>
          <w:b w:val="0"/>
          <w:bCs w:val="0"/>
          <w:lang w:val="en-GB"/>
        </w:rPr>
        <w:t xml:space="preserve">For data collection, the authors of the study used GANJ </w:t>
      </w:r>
      <w:proofErr w:type="spellStart"/>
      <w:r w:rsidRPr="00143446">
        <w:rPr>
          <w:b w:val="0"/>
          <w:bCs w:val="0"/>
          <w:lang w:val="en-GB"/>
        </w:rPr>
        <w:t>IranDoc</w:t>
      </w:r>
      <w:proofErr w:type="spellEnd"/>
      <w:r w:rsidRPr="00143446">
        <w:rPr>
          <w:b w:val="0"/>
          <w:bCs w:val="0"/>
          <w:lang w:val="en-GB"/>
        </w:rPr>
        <w:t xml:space="preserve"> database (https://ganj.irandoc.ac.ir/#/), which is run by the Iranian Research Institute for Information Science and Technology. While the database is not a speciali</w:t>
      </w:r>
      <w:r w:rsidR="005666AD">
        <w:rPr>
          <w:b w:val="0"/>
          <w:bCs w:val="0"/>
          <w:lang w:val="en-GB"/>
        </w:rPr>
        <w:t>s</w:t>
      </w:r>
      <w:r w:rsidRPr="00143446">
        <w:rPr>
          <w:b w:val="0"/>
          <w:bCs w:val="0"/>
          <w:lang w:val="en-GB"/>
        </w:rPr>
        <w:t>ed bibliography such as the Translation Studies Bibliography (TSB), it provides information about postgraduate dissertations, theses, and research proposals in most fields of study in Iran including translation. Considered to be the largest academic treasure in Iran, it contains over 1,200,000 research documents. Moreover, the database is used to conduct similarity checks and literature reviews.</w:t>
      </w:r>
    </w:p>
    <w:p w14:paraId="39F7CF7E" w14:textId="4B01AA94" w:rsidR="00143446" w:rsidRPr="00143446" w:rsidRDefault="00143446">
      <w:pPr>
        <w:pStyle w:val="Podtitul"/>
        <w:ind w:firstLine="709"/>
        <w:jc w:val="both"/>
        <w:rPr>
          <w:b w:val="0"/>
          <w:bCs w:val="0"/>
          <w:lang w:val="en-GB"/>
        </w:rPr>
      </w:pPr>
      <w:r w:rsidRPr="00143446">
        <w:rPr>
          <w:b w:val="0"/>
          <w:bCs w:val="0"/>
          <w:lang w:val="en-GB"/>
        </w:rPr>
        <w:t xml:space="preserve">The researchers used the phrase </w:t>
      </w:r>
      <w:r w:rsidRPr="000F7B1A">
        <w:rPr>
          <w:b w:val="0"/>
          <w:bCs w:val="0"/>
          <w:i/>
          <w:iCs/>
          <w:lang w:val="en-GB"/>
        </w:rPr>
        <w:t xml:space="preserve">sociology of </w:t>
      </w:r>
      <w:proofErr w:type="gramStart"/>
      <w:r w:rsidRPr="000F7B1A">
        <w:rPr>
          <w:b w:val="0"/>
          <w:bCs w:val="0"/>
          <w:i/>
          <w:iCs/>
          <w:lang w:val="en-GB"/>
        </w:rPr>
        <w:t>translation</w:t>
      </w:r>
      <w:proofErr w:type="gramEnd"/>
      <w:r w:rsidRPr="00143446">
        <w:rPr>
          <w:b w:val="0"/>
          <w:bCs w:val="0"/>
          <w:lang w:val="en-GB"/>
        </w:rPr>
        <w:t xml:space="preserve"> and its key areas (used as search terms) displayed in Table 1 along with their Persian equivalents to search relevant documents. Persian translations of key terms were used to find studies written in Persian. From a total of 5672 studies related to translation, the search yielded 293 studies (5.2%), which had the label of </w:t>
      </w:r>
      <w:r w:rsidRPr="000F7B1A">
        <w:rPr>
          <w:b w:val="0"/>
          <w:bCs w:val="0"/>
          <w:i/>
          <w:iCs/>
          <w:lang w:val="en-GB"/>
        </w:rPr>
        <w:t>sociology of translation</w:t>
      </w:r>
      <w:r w:rsidRPr="0093442E">
        <w:rPr>
          <w:b w:val="0"/>
          <w:bCs w:val="0"/>
          <w:lang w:val="en-GB"/>
        </w:rPr>
        <w:t xml:space="preserve"> </w:t>
      </w:r>
      <w:r w:rsidRPr="00143446">
        <w:rPr>
          <w:b w:val="0"/>
          <w:bCs w:val="0"/>
          <w:lang w:val="en-GB"/>
        </w:rPr>
        <w:t>or were tagged as such.</w:t>
      </w:r>
      <w:r w:rsidR="00EA1689">
        <w:rPr>
          <w:b w:val="0"/>
          <w:bCs w:val="0"/>
          <w:lang w:val="en-GB"/>
        </w:rPr>
        <w:t xml:space="preserve"> </w:t>
      </w:r>
      <w:r w:rsidRPr="00143446">
        <w:rPr>
          <w:b w:val="0"/>
          <w:bCs w:val="0"/>
          <w:lang w:val="en-GB"/>
        </w:rPr>
        <w:t xml:space="preserve">Subsequently, both authors of the study examined and double-checked each title, abstract, and its keywords to see if the study was related to the </w:t>
      </w:r>
      <w:proofErr w:type="spellStart"/>
      <w:r w:rsidRPr="00143446">
        <w:rPr>
          <w:b w:val="0"/>
          <w:bCs w:val="0"/>
          <w:lang w:val="en-GB"/>
        </w:rPr>
        <w:t>S</w:t>
      </w:r>
      <w:r w:rsidR="003748BF">
        <w:rPr>
          <w:b w:val="0"/>
          <w:bCs w:val="0"/>
          <w:lang w:val="en-GB"/>
        </w:rPr>
        <w:t>o</w:t>
      </w:r>
      <w:r w:rsidRPr="00143446">
        <w:rPr>
          <w:b w:val="0"/>
          <w:bCs w:val="0"/>
          <w:lang w:val="en-GB"/>
        </w:rPr>
        <w:t>T</w:t>
      </w:r>
      <w:proofErr w:type="spellEnd"/>
      <w:r w:rsidRPr="00143446">
        <w:rPr>
          <w:b w:val="0"/>
          <w:bCs w:val="0"/>
          <w:lang w:val="en-GB"/>
        </w:rPr>
        <w:t xml:space="preserve">. After sifting through all the 293 studies, we found 48 MA theses and PhD dissertations on the </w:t>
      </w:r>
      <w:proofErr w:type="spellStart"/>
      <w:r w:rsidRPr="00143446">
        <w:rPr>
          <w:b w:val="0"/>
          <w:bCs w:val="0"/>
          <w:lang w:val="en-GB"/>
        </w:rPr>
        <w:t>S</w:t>
      </w:r>
      <w:r w:rsidR="003748BF">
        <w:rPr>
          <w:b w:val="0"/>
          <w:bCs w:val="0"/>
          <w:lang w:val="en-GB"/>
        </w:rPr>
        <w:t>o</w:t>
      </w:r>
      <w:r w:rsidRPr="00143446">
        <w:rPr>
          <w:b w:val="0"/>
          <w:bCs w:val="0"/>
          <w:lang w:val="en-GB"/>
        </w:rPr>
        <w:t>T</w:t>
      </w:r>
      <w:proofErr w:type="spellEnd"/>
      <w:r w:rsidRPr="00143446">
        <w:rPr>
          <w:b w:val="0"/>
          <w:bCs w:val="0"/>
          <w:lang w:val="en-GB"/>
        </w:rPr>
        <w:t>, which provided us with raw data for the present research.</w:t>
      </w:r>
    </w:p>
    <w:p w14:paraId="6C1D862C" w14:textId="700142B6" w:rsidR="00EA1689" w:rsidRPr="00FE0B67" w:rsidRDefault="00143446" w:rsidP="00FE0B67">
      <w:pPr>
        <w:pStyle w:val="Podtitul"/>
        <w:ind w:firstLine="708"/>
        <w:jc w:val="both"/>
        <w:rPr>
          <w:b w:val="0"/>
          <w:bCs w:val="0"/>
          <w:lang w:val="en-GB"/>
        </w:rPr>
      </w:pPr>
      <w:r w:rsidRPr="00143446">
        <w:rPr>
          <w:b w:val="0"/>
          <w:bCs w:val="0"/>
          <w:lang w:val="en-GB"/>
        </w:rPr>
        <w:t xml:space="preserve">In the next phase of the research, the files related to the 48 studies were downloaded from the GANJ </w:t>
      </w:r>
      <w:proofErr w:type="spellStart"/>
      <w:r w:rsidRPr="00143446">
        <w:rPr>
          <w:b w:val="0"/>
          <w:bCs w:val="0"/>
          <w:lang w:val="en-GB"/>
        </w:rPr>
        <w:t>IranDoc</w:t>
      </w:r>
      <w:proofErr w:type="spellEnd"/>
      <w:r w:rsidRPr="00143446">
        <w:rPr>
          <w:b w:val="0"/>
          <w:bCs w:val="0"/>
          <w:lang w:val="en-GB"/>
        </w:rPr>
        <w:t xml:space="preserve"> repository and the titles, abstracts, keywords, and methodology sections of these studies were analysed. The results are presented in the analysis and discussion section. A point that should be clarified here is that the MA translation </w:t>
      </w:r>
      <w:r w:rsidR="008B6FF7">
        <w:rPr>
          <w:b w:val="0"/>
          <w:bCs w:val="0"/>
          <w:lang w:val="en-GB"/>
        </w:rPr>
        <w:t>programme</w:t>
      </w:r>
      <w:r w:rsidRPr="00143446">
        <w:rPr>
          <w:b w:val="0"/>
          <w:bCs w:val="0"/>
          <w:lang w:val="en-GB"/>
        </w:rPr>
        <w:t xml:space="preserve">s at Iranian universities commenced in 2002. The establishment of the first PhD translation </w:t>
      </w:r>
      <w:r w:rsidR="008B6FF7">
        <w:rPr>
          <w:b w:val="0"/>
          <w:bCs w:val="0"/>
          <w:lang w:val="en-GB"/>
        </w:rPr>
        <w:t>programme</w:t>
      </w:r>
      <w:r w:rsidRPr="00143446">
        <w:rPr>
          <w:b w:val="0"/>
          <w:bCs w:val="0"/>
          <w:lang w:val="en-GB"/>
        </w:rPr>
        <w:t xml:space="preserve"> in Iran was in 2014. While these dates are the starting points for the study of postgraduate translation research at Iranian universities, in practice most of the documented postgraduate </w:t>
      </w:r>
      <w:r w:rsidRPr="00143446">
        <w:rPr>
          <w:b w:val="0"/>
          <w:bCs w:val="0"/>
          <w:lang w:val="en-GB"/>
        </w:rPr>
        <w:lastRenderedPageBreak/>
        <w:t xml:space="preserve">research on translation in general and of the </w:t>
      </w:r>
      <w:proofErr w:type="spellStart"/>
      <w:r w:rsidRPr="00143446">
        <w:rPr>
          <w:b w:val="0"/>
          <w:bCs w:val="0"/>
          <w:lang w:val="en-GB"/>
        </w:rPr>
        <w:t>S</w:t>
      </w:r>
      <w:r w:rsidR="003748BF">
        <w:rPr>
          <w:b w:val="0"/>
          <w:bCs w:val="0"/>
          <w:lang w:val="en-GB"/>
        </w:rPr>
        <w:t>o</w:t>
      </w:r>
      <w:r w:rsidRPr="00143446">
        <w:rPr>
          <w:b w:val="0"/>
          <w:bCs w:val="0"/>
          <w:lang w:val="en-GB"/>
        </w:rPr>
        <w:t>T</w:t>
      </w:r>
      <w:proofErr w:type="spellEnd"/>
      <w:r w:rsidRPr="00143446">
        <w:rPr>
          <w:b w:val="0"/>
          <w:bCs w:val="0"/>
          <w:lang w:val="en-GB"/>
        </w:rPr>
        <w:t xml:space="preserve"> in particular were carried out within the years 2009</w:t>
      </w:r>
      <w:r w:rsidR="0027172B">
        <w:rPr>
          <w:b w:val="0"/>
          <w:bCs w:val="0"/>
          <w:lang w:val="en-GB"/>
        </w:rPr>
        <w:t>–</w:t>
      </w:r>
      <w:r w:rsidRPr="00143446">
        <w:rPr>
          <w:b w:val="0"/>
          <w:bCs w:val="0"/>
          <w:lang w:val="en-GB"/>
        </w:rPr>
        <w:t>2022. Hence, the studies investigated in the present research were conducted within the same period.</w:t>
      </w:r>
    </w:p>
    <w:p w14:paraId="60674FDA" w14:textId="332A72B8" w:rsidR="00E62B50" w:rsidRPr="001C7998" w:rsidRDefault="00E62B50" w:rsidP="001C7998">
      <w:pPr>
        <w:pStyle w:val="Nadpis1"/>
        <w:numPr>
          <w:ilvl w:val="0"/>
          <w:numId w:val="1"/>
        </w:numPr>
        <w:spacing w:before="560" w:after="280"/>
        <w:ind w:left="425" w:hanging="425"/>
        <w:contextualSpacing/>
      </w:pPr>
      <w:r w:rsidRPr="00E62B50">
        <w:t xml:space="preserve">Analysis and </w:t>
      </w:r>
      <w:r w:rsidR="008A7F4E">
        <w:t>results</w:t>
      </w:r>
    </w:p>
    <w:p w14:paraId="766F39E8" w14:textId="4E017FCD" w:rsidR="00430D80" w:rsidRPr="00430D80" w:rsidRDefault="00430D80" w:rsidP="00430D80">
      <w:pPr>
        <w:pStyle w:val="Podtitul"/>
        <w:jc w:val="both"/>
        <w:rPr>
          <w:b w:val="0"/>
          <w:bCs w:val="0"/>
          <w:lang w:val="en-GB"/>
        </w:rPr>
      </w:pPr>
      <w:r w:rsidRPr="00430D80">
        <w:rPr>
          <w:b w:val="0"/>
          <w:bCs w:val="0"/>
          <w:lang w:val="en-GB"/>
        </w:rPr>
        <w:t>This section presents the analysis that led the present researchers to their findings and discussion about the current study. Using descriptive statistics (i.e. frequencies and percentages), the collected data was analysed to get a general picture of the study.</w:t>
      </w:r>
    </w:p>
    <w:p w14:paraId="240D5FB6" w14:textId="78B189D4" w:rsidR="00430D80" w:rsidRPr="00430D80" w:rsidRDefault="00430D80" w:rsidP="00430D80">
      <w:pPr>
        <w:pStyle w:val="Podtitul"/>
        <w:ind w:firstLine="708"/>
        <w:jc w:val="both"/>
        <w:rPr>
          <w:b w:val="0"/>
          <w:bCs w:val="0"/>
          <w:lang w:val="en-GB"/>
        </w:rPr>
      </w:pPr>
      <w:r w:rsidRPr="00430D80">
        <w:rPr>
          <w:b w:val="0"/>
          <w:bCs w:val="0"/>
          <w:lang w:val="en-GB"/>
        </w:rPr>
        <w:t xml:space="preserve">First, qualitative data was coded or labelled to be quantified and more easily analysed. Then, demographic information related to the studies was presented in a table. Subsequently, to investigate the research questions, the researchers interpreted and made sense of the patterns and relationships by drawing inferences and exploring connections between the findings and the research questions. Double-checking and inter-coder reliability checks were used as procedures to ensure the accuracy and completeness of the results. Finally, the researchers proposed a conceptual map of postgraduate research trends in the </w:t>
      </w:r>
      <w:proofErr w:type="spellStart"/>
      <w:r w:rsidRPr="00430D80">
        <w:rPr>
          <w:b w:val="0"/>
          <w:bCs w:val="0"/>
          <w:lang w:val="en-GB"/>
        </w:rPr>
        <w:t>S</w:t>
      </w:r>
      <w:r w:rsidR="003748BF">
        <w:rPr>
          <w:b w:val="0"/>
          <w:bCs w:val="0"/>
          <w:lang w:val="en-GB"/>
        </w:rPr>
        <w:t>o</w:t>
      </w:r>
      <w:r w:rsidRPr="00430D80">
        <w:rPr>
          <w:b w:val="0"/>
          <w:bCs w:val="0"/>
          <w:lang w:val="en-GB"/>
        </w:rPr>
        <w:t>T</w:t>
      </w:r>
      <w:proofErr w:type="spellEnd"/>
      <w:r w:rsidRPr="00430D80">
        <w:rPr>
          <w:b w:val="0"/>
          <w:bCs w:val="0"/>
          <w:lang w:val="en-GB"/>
        </w:rPr>
        <w:t xml:space="preserve"> in Iran.</w:t>
      </w:r>
    </w:p>
    <w:p w14:paraId="301D8848" w14:textId="5081FEBC" w:rsidR="00E62B50" w:rsidRDefault="00430D80" w:rsidP="00430D80">
      <w:pPr>
        <w:pStyle w:val="Podtitul"/>
        <w:ind w:firstLine="708"/>
        <w:jc w:val="both"/>
        <w:rPr>
          <w:b w:val="0"/>
          <w:bCs w:val="0"/>
          <w:lang w:val="en-GB"/>
        </w:rPr>
      </w:pPr>
      <w:r w:rsidRPr="00430D80">
        <w:rPr>
          <w:b w:val="0"/>
          <w:bCs w:val="0"/>
          <w:lang w:val="en-GB"/>
        </w:rPr>
        <w:t xml:space="preserve">To check the consistency between the two coders, the coding instances were checked to see if both coders agreed on the coding decisions (Mackey &amp; Gass 2016). </w:t>
      </w:r>
      <w:r w:rsidR="00AB248C">
        <w:rPr>
          <w:b w:val="0"/>
          <w:bCs w:val="0"/>
          <w:lang w:val="en-GB"/>
        </w:rPr>
        <w:t>Table 2</w:t>
      </w:r>
      <w:r w:rsidRPr="00430D80">
        <w:rPr>
          <w:b w:val="0"/>
          <w:bCs w:val="0"/>
          <w:lang w:val="en-GB"/>
        </w:rPr>
        <w:t xml:space="preserve"> depicts the Pearson correlation and inter-coder reliability index for the two researchers’ decisions.</w:t>
      </w:r>
    </w:p>
    <w:p w14:paraId="02481F2A" w14:textId="1DD4F199" w:rsidR="00430D80" w:rsidRDefault="006A11CB" w:rsidP="003D5412">
      <w:pPr>
        <w:pStyle w:val="Podtitul"/>
        <w:spacing w:before="160" w:after="120" w:line="360" w:lineRule="auto"/>
        <w:jc w:val="left"/>
        <w:rPr>
          <w:b w:val="0"/>
          <w:bCs w:val="0"/>
          <w:lang w:val="en-GB"/>
        </w:rPr>
      </w:pPr>
      <w:r w:rsidRPr="006A11CB">
        <w:rPr>
          <w:b w:val="0"/>
          <w:bCs w:val="0"/>
          <w:lang w:val="en-GB"/>
        </w:rPr>
        <w:t>Table 2</w:t>
      </w:r>
      <w:r w:rsidR="00044370">
        <w:rPr>
          <w:b w:val="0"/>
          <w:bCs w:val="0"/>
          <w:lang w:val="en-GB"/>
        </w:rPr>
        <w:t>:</w:t>
      </w:r>
      <w:r w:rsidRPr="006A11CB">
        <w:rPr>
          <w:b w:val="0"/>
          <w:bCs w:val="0"/>
          <w:lang w:val="en-GB"/>
        </w:rPr>
        <w:t xml:space="preserve"> Pearson correlation and inter-coder reliability index</w:t>
      </w:r>
    </w:p>
    <w:tbl>
      <w:tblPr>
        <w:tblW w:w="5000" w:type="pct"/>
        <w:jc w:val="center"/>
        <w:tblLook w:val="04A0" w:firstRow="1" w:lastRow="0" w:firstColumn="1" w:lastColumn="0" w:noHBand="0" w:noVBand="1"/>
      </w:tblPr>
      <w:tblGrid>
        <w:gridCol w:w="2256"/>
        <w:gridCol w:w="2256"/>
        <w:gridCol w:w="2257"/>
        <w:gridCol w:w="2257"/>
      </w:tblGrid>
      <w:tr w:rsidR="006A11CB" w:rsidRPr="00170686" w14:paraId="2186ABE7" w14:textId="77777777" w:rsidTr="00364FC8">
        <w:trPr>
          <w:jc w:val="center"/>
        </w:trPr>
        <w:tc>
          <w:tcPr>
            <w:tcW w:w="1250" w:type="pct"/>
            <w:tcBorders>
              <w:top w:val="single" w:sz="12" w:space="0" w:color="auto"/>
              <w:bottom w:val="single" w:sz="12" w:space="0" w:color="auto"/>
            </w:tcBorders>
            <w:shd w:val="clear" w:color="auto" w:fill="auto"/>
          </w:tcPr>
          <w:p w14:paraId="23E04A47"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Coders</w:t>
            </w:r>
          </w:p>
        </w:tc>
        <w:tc>
          <w:tcPr>
            <w:tcW w:w="1250" w:type="pct"/>
            <w:tcBorders>
              <w:top w:val="single" w:sz="12" w:space="0" w:color="auto"/>
              <w:bottom w:val="single" w:sz="12" w:space="0" w:color="auto"/>
            </w:tcBorders>
            <w:shd w:val="clear" w:color="auto" w:fill="auto"/>
          </w:tcPr>
          <w:p w14:paraId="6E8E4C3A"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Sig. (2-tailed)</w:t>
            </w:r>
          </w:p>
        </w:tc>
        <w:tc>
          <w:tcPr>
            <w:tcW w:w="1250" w:type="pct"/>
            <w:tcBorders>
              <w:top w:val="single" w:sz="12" w:space="0" w:color="auto"/>
              <w:bottom w:val="single" w:sz="12" w:space="0" w:color="auto"/>
            </w:tcBorders>
            <w:shd w:val="clear" w:color="auto" w:fill="auto"/>
          </w:tcPr>
          <w:p w14:paraId="640F3405"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Correlation</w:t>
            </w:r>
          </w:p>
          <w:p w14:paraId="364B93D6"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Coefficient</w:t>
            </w:r>
          </w:p>
        </w:tc>
        <w:tc>
          <w:tcPr>
            <w:tcW w:w="1250" w:type="pct"/>
            <w:tcBorders>
              <w:top w:val="single" w:sz="12" w:space="0" w:color="auto"/>
              <w:bottom w:val="single" w:sz="12" w:space="0" w:color="auto"/>
            </w:tcBorders>
            <w:shd w:val="clear" w:color="auto" w:fill="auto"/>
          </w:tcPr>
          <w:p w14:paraId="0C73416D"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Inter-Coder Reliability</w:t>
            </w:r>
          </w:p>
          <w:p w14:paraId="3CA1AD6B"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Index</w:t>
            </w:r>
          </w:p>
        </w:tc>
      </w:tr>
      <w:tr w:rsidR="006A11CB" w:rsidRPr="00170686" w14:paraId="785C3F3C" w14:textId="77777777" w:rsidTr="00364FC8">
        <w:trPr>
          <w:jc w:val="center"/>
        </w:trPr>
        <w:tc>
          <w:tcPr>
            <w:tcW w:w="1250" w:type="pct"/>
            <w:tcBorders>
              <w:top w:val="single" w:sz="12" w:space="0" w:color="auto"/>
              <w:bottom w:val="single" w:sz="12" w:space="0" w:color="auto"/>
            </w:tcBorders>
            <w:shd w:val="clear" w:color="auto" w:fill="auto"/>
          </w:tcPr>
          <w:p w14:paraId="467D8214"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Researchers 1 and 2</w:t>
            </w:r>
          </w:p>
        </w:tc>
        <w:tc>
          <w:tcPr>
            <w:tcW w:w="1250" w:type="pct"/>
            <w:tcBorders>
              <w:top w:val="single" w:sz="12" w:space="0" w:color="auto"/>
              <w:bottom w:val="single" w:sz="12" w:space="0" w:color="auto"/>
            </w:tcBorders>
            <w:shd w:val="clear" w:color="auto" w:fill="auto"/>
          </w:tcPr>
          <w:p w14:paraId="57F405D7"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.000</w:t>
            </w:r>
          </w:p>
        </w:tc>
        <w:tc>
          <w:tcPr>
            <w:tcW w:w="1250" w:type="pct"/>
            <w:tcBorders>
              <w:top w:val="single" w:sz="12" w:space="0" w:color="auto"/>
              <w:bottom w:val="single" w:sz="12" w:space="0" w:color="auto"/>
            </w:tcBorders>
            <w:shd w:val="clear" w:color="auto" w:fill="auto"/>
          </w:tcPr>
          <w:p w14:paraId="4790FB5F" w14:textId="77777777" w:rsidR="006A11CB" w:rsidRPr="00170686" w:rsidRDefault="006A11CB" w:rsidP="00170686">
            <w:pPr>
              <w:jc w:val="center"/>
              <w:rPr>
                <w:rFonts w:cs="Arial"/>
                <w:sz w:val="22"/>
                <w:szCs w:val="22"/>
                <w:vertAlign w:val="superscript"/>
                <w:lang w:val="en-US" w:eastAsia="en-US"/>
              </w:rPr>
            </w:pPr>
            <w:r w:rsidRPr="00170686">
              <w:rPr>
                <w:rFonts w:cs="Arial"/>
                <w:sz w:val="22"/>
                <w:szCs w:val="22"/>
                <w:lang w:val="en-US" w:eastAsia="en-US"/>
              </w:rPr>
              <w:t>0.725</w:t>
            </w:r>
            <w:r w:rsidRPr="00170686">
              <w:rPr>
                <w:rFonts w:cs="Arial"/>
                <w:sz w:val="22"/>
                <w:szCs w:val="22"/>
                <w:vertAlign w:val="superscript"/>
                <w:lang w:val="en-US" w:eastAsia="en-US"/>
              </w:rPr>
              <w:t>**</w:t>
            </w:r>
          </w:p>
        </w:tc>
        <w:tc>
          <w:tcPr>
            <w:tcW w:w="1250" w:type="pct"/>
            <w:tcBorders>
              <w:top w:val="single" w:sz="12" w:space="0" w:color="auto"/>
              <w:bottom w:val="single" w:sz="12" w:space="0" w:color="auto"/>
            </w:tcBorders>
            <w:shd w:val="clear" w:color="auto" w:fill="auto"/>
          </w:tcPr>
          <w:p w14:paraId="2008456E" w14:textId="77777777" w:rsidR="006A11CB" w:rsidRPr="00170686" w:rsidRDefault="006A11CB" w:rsidP="00170686">
            <w:pPr>
              <w:jc w:val="center"/>
              <w:rPr>
                <w:rFonts w:cs="Arial"/>
                <w:sz w:val="22"/>
                <w:szCs w:val="22"/>
                <w:lang w:val="en-US" w:eastAsia="en-US"/>
              </w:rPr>
            </w:pPr>
            <w:r w:rsidRPr="00170686">
              <w:rPr>
                <w:rFonts w:cs="Arial"/>
                <w:sz w:val="22"/>
                <w:szCs w:val="22"/>
                <w:lang w:val="en-US" w:eastAsia="en-US"/>
              </w:rPr>
              <w:t>0.840</w:t>
            </w:r>
          </w:p>
        </w:tc>
      </w:tr>
    </w:tbl>
    <w:p w14:paraId="05F2DC6F" w14:textId="48EE01FE" w:rsidR="006A11CB" w:rsidRPr="006A11CB" w:rsidRDefault="00FE0B67" w:rsidP="003D5412">
      <w:pPr>
        <w:spacing w:before="120" w:line="480" w:lineRule="auto"/>
        <w:jc w:val="both"/>
        <w:rPr>
          <w:sz w:val="22"/>
          <w:szCs w:val="22"/>
          <w:lang w:val="en-GB" w:eastAsia="en-GB"/>
        </w:rPr>
      </w:pPr>
      <w:r>
        <w:rPr>
          <w:sz w:val="22"/>
          <w:szCs w:val="22"/>
          <w:lang w:val="en-GB" w:eastAsia="en-GB"/>
        </w:rPr>
        <w:t xml:space="preserve">   </w:t>
      </w:r>
      <w:r w:rsidR="006A11CB" w:rsidRPr="006A11CB">
        <w:rPr>
          <w:sz w:val="22"/>
          <w:szCs w:val="22"/>
          <w:lang w:val="en-GB" w:eastAsia="en-GB"/>
        </w:rPr>
        <w:t>** Correlation is significant at the 0.01 level (2-tailed).</w:t>
      </w:r>
    </w:p>
    <w:p w14:paraId="69E2BA48" w14:textId="4A792F0B" w:rsidR="00E163EF" w:rsidRPr="00446924" w:rsidRDefault="00ED3D82" w:rsidP="00430D80">
      <w:pPr>
        <w:pStyle w:val="Nadpis3"/>
        <w:numPr>
          <w:ilvl w:val="1"/>
          <w:numId w:val="1"/>
        </w:numPr>
        <w:spacing w:before="280" w:after="280"/>
        <w:ind w:left="850" w:hanging="425"/>
        <w:contextualSpacing/>
      </w:pPr>
      <w:r w:rsidRPr="00ED3D82">
        <w:t>Demography</w:t>
      </w:r>
    </w:p>
    <w:p w14:paraId="3A115803" w14:textId="27C7D395" w:rsidR="00ED3D82" w:rsidRDefault="00ED3D82" w:rsidP="00430D80">
      <w:pPr>
        <w:pStyle w:val="Podtitul"/>
        <w:jc w:val="both"/>
        <w:rPr>
          <w:b w:val="0"/>
          <w:bCs w:val="0"/>
          <w:lang w:val="en-GB"/>
        </w:rPr>
      </w:pPr>
      <w:r w:rsidRPr="00ED3D82">
        <w:rPr>
          <w:b w:val="0"/>
          <w:bCs w:val="0"/>
          <w:lang w:val="en-GB"/>
        </w:rPr>
        <w:t xml:space="preserve">Table 3 presents gender and academic level of the Iranian postgraduate researchers. The number of MA students was 5 times more than PhD students. One reason is that MA </w:t>
      </w:r>
      <w:r w:rsidR="008B6FF7">
        <w:rPr>
          <w:b w:val="0"/>
          <w:bCs w:val="0"/>
          <w:lang w:val="en-GB"/>
        </w:rPr>
        <w:t>programme</w:t>
      </w:r>
      <w:r w:rsidRPr="00ED3D82">
        <w:rPr>
          <w:b w:val="0"/>
          <w:bCs w:val="0"/>
          <w:lang w:val="en-GB"/>
        </w:rPr>
        <w:t xml:space="preserve">s commenced in 2002 while PhD </w:t>
      </w:r>
      <w:r w:rsidR="008B6FF7">
        <w:rPr>
          <w:b w:val="0"/>
          <w:bCs w:val="0"/>
          <w:lang w:val="en-GB"/>
        </w:rPr>
        <w:t>programme</w:t>
      </w:r>
      <w:r w:rsidRPr="00ED3D82">
        <w:rPr>
          <w:b w:val="0"/>
          <w:bCs w:val="0"/>
          <w:lang w:val="en-GB"/>
        </w:rPr>
        <w:t xml:space="preserve">s started in 2014. Second, there is more intake at MA level whereas only 3 universities offer PhD </w:t>
      </w:r>
      <w:r w:rsidR="008B6FF7">
        <w:rPr>
          <w:b w:val="0"/>
          <w:bCs w:val="0"/>
          <w:lang w:val="en-GB"/>
        </w:rPr>
        <w:t>programme</w:t>
      </w:r>
      <w:r w:rsidRPr="00ED3D82">
        <w:rPr>
          <w:b w:val="0"/>
          <w:bCs w:val="0"/>
          <w:lang w:val="en-GB"/>
        </w:rPr>
        <w:t xml:space="preserve">s. The number of female postgraduate researchers was 2.2 times more than their male counterparts. This implies that postgraduate research on the </w:t>
      </w:r>
      <w:proofErr w:type="spellStart"/>
      <w:r w:rsidRPr="00ED3D82">
        <w:rPr>
          <w:b w:val="0"/>
          <w:bCs w:val="0"/>
          <w:lang w:val="en-GB"/>
        </w:rPr>
        <w:t>S</w:t>
      </w:r>
      <w:r w:rsidR="003748BF">
        <w:rPr>
          <w:b w:val="0"/>
          <w:bCs w:val="0"/>
          <w:lang w:val="en-GB"/>
        </w:rPr>
        <w:t>o</w:t>
      </w:r>
      <w:r w:rsidRPr="00ED3D82">
        <w:rPr>
          <w:b w:val="0"/>
          <w:bCs w:val="0"/>
          <w:lang w:val="en-GB"/>
        </w:rPr>
        <w:t>T</w:t>
      </w:r>
      <w:proofErr w:type="spellEnd"/>
      <w:r w:rsidRPr="00ED3D82">
        <w:rPr>
          <w:b w:val="0"/>
          <w:bCs w:val="0"/>
          <w:lang w:val="en-GB"/>
        </w:rPr>
        <w:t xml:space="preserve"> is dominated by female researchers in Iran.</w:t>
      </w:r>
    </w:p>
    <w:p w14:paraId="7755FF72" w14:textId="337D562E" w:rsidR="00ED3D82" w:rsidRDefault="00ED3D82" w:rsidP="003D5412">
      <w:pPr>
        <w:pStyle w:val="Podtitul"/>
        <w:spacing w:before="160" w:after="120" w:line="360" w:lineRule="auto"/>
        <w:jc w:val="left"/>
        <w:rPr>
          <w:b w:val="0"/>
          <w:bCs w:val="0"/>
          <w:lang w:val="en-GB"/>
        </w:rPr>
      </w:pPr>
      <w:r w:rsidRPr="00ED3D82">
        <w:rPr>
          <w:b w:val="0"/>
          <w:bCs w:val="0"/>
          <w:lang w:val="en-GB"/>
        </w:rPr>
        <w:t>Table 3</w:t>
      </w:r>
      <w:r w:rsidR="00044370">
        <w:rPr>
          <w:b w:val="0"/>
          <w:bCs w:val="0"/>
          <w:lang w:val="en-GB"/>
        </w:rPr>
        <w:t>:</w:t>
      </w:r>
      <w:r w:rsidRPr="00ED3D82">
        <w:rPr>
          <w:b w:val="0"/>
          <w:bCs w:val="0"/>
          <w:lang w:val="en-GB"/>
        </w:rPr>
        <w:t xml:space="preserve"> Gender and academic level of the Iranian postgraduate researchers</w:t>
      </w:r>
    </w:p>
    <w:tbl>
      <w:tblPr>
        <w:tblW w:w="5000" w:type="pct"/>
        <w:jc w:val="center"/>
        <w:tblLook w:val="04A0" w:firstRow="1" w:lastRow="0" w:firstColumn="1" w:lastColumn="0" w:noHBand="0" w:noVBand="1"/>
      </w:tblPr>
      <w:tblGrid>
        <w:gridCol w:w="2503"/>
        <w:gridCol w:w="2504"/>
        <w:gridCol w:w="2506"/>
        <w:gridCol w:w="1513"/>
      </w:tblGrid>
      <w:tr w:rsidR="00ED3D82" w:rsidRPr="00170686" w14:paraId="67E897D1" w14:textId="77777777" w:rsidTr="00364FC8">
        <w:trPr>
          <w:jc w:val="center"/>
        </w:trPr>
        <w:tc>
          <w:tcPr>
            <w:tcW w:w="1387" w:type="pct"/>
            <w:tcBorders>
              <w:top w:val="single" w:sz="12" w:space="0" w:color="auto"/>
              <w:bottom w:val="single" w:sz="8" w:space="0" w:color="auto"/>
            </w:tcBorders>
            <w:shd w:val="clear" w:color="auto" w:fill="auto"/>
          </w:tcPr>
          <w:p w14:paraId="3935BDA3"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Sex</w:t>
            </w:r>
          </w:p>
        </w:tc>
        <w:tc>
          <w:tcPr>
            <w:tcW w:w="1387" w:type="pct"/>
            <w:tcBorders>
              <w:top w:val="single" w:sz="12" w:space="0" w:color="auto"/>
              <w:bottom w:val="single" w:sz="8" w:space="0" w:color="auto"/>
            </w:tcBorders>
            <w:shd w:val="clear" w:color="auto" w:fill="auto"/>
          </w:tcPr>
          <w:p w14:paraId="5DB8EE8E"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MA</w:t>
            </w:r>
          </w:p>
        </w:tc>
        <w:tc>
          <w:tcPr>
            <w:tcW w:w="1388" w:type="pct"/>
            <w:tcBorders>
              <w:top w:val="single" w:sz="12" w:space="0" w:color="auto"/>
              <w:bottom w:val="single" w:sz="8" w:space="0" w:color="auto"/>
            </w:tcBorders>
            <w:shd w:val="clear" w:color="auto" w:fill="auto"/>
          </w:tcPr>
          <w:p w14:paraId="1AA49D59"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PhD</w:t>
            </w:r>
          </w:p>
        </w:tc>
        <w:tc>
          <w:tcPr>
            <w:tcW w:w="838" w:type="pct"/>
            <w:tcBorders>
              <w:top w:val="single" w:sz="12" w:space="0" w:color="auto"/>
              <w:bottom w:val="single" w:sz="8" w:space="0" w:color="auto"/>
            </w:tcBorders>
            <w:shd w:val="clear" w:color="auto" w:fill="auto"/>
          </w:tcPr>
          <w:p w14:paraId="3835180E"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Total</w:t>
            </w:r>
          </w:p>
        </w:tc>
      </w:tr>
      <w:tr w:rsidR="00ED3D82" w:rsidRPr="00170686" w14:paraId="2981A4BD" w14:textId="77777777" w:rsidTr="00364FC8">
        <w:trPr>
          <w:jc w:val="center"/>
        </w:trPr>
        <w:tc>
          <w:tcPr>
            <w:tcW w:w="1387" w:type="pct"/>
            <w:tcBorders>
              <w:top w:val="single" w:sz="8" w:space="0" w:color="auto"/>
            </w:tcBorders>
            <w:shd w:val="clear" w:color="auto" w:fill="auto"/>
          </w:tcPr>
          <w:p w14:paraId="611518BF"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Male</w:t>
            </w:r>
          </w:p>
        </w:tc>
        <w:tc>
          <w:tcPr>
            <w:tcW w:w="1387" w:type="pct"/>
            <w:tcBorders>
              <w:top w:val="single" w:sz="8" w:space="0" w:color="auto"/>
            </w:tcBorders>
            <w:shd w:val="clear" w:color="auto" w:fill="auto"/>
          </w:tcPr>
          <w:p w14:paraId="01633FD7"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12</w:t>
            </w:r>
          </w:p>
        </w:tc>
        <w:tc>
          <w:tcPr>
            <w:tcW w:w="1388" w:type="pct"/>
            <w:tcBorders>
              <w:top w:val="single" w:sz="8" w:space="0" w:color="auto"/>
            </w:tcBorders>
            <w:shd w:val="clear" w:color="auto" w:fill="auto"/>
          </w:tcPr>
          <w:p w14:paraId="5794D686"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3</w:t>
            </w:r>
          </w:p>
        </w:tc>
        <w:tc>
          <w:tcPr>
            <w:tcW w:w="838" w:type="pct"/>
            <w:tcBorders>
              <w:top w:val="single" w:sz="8" w:space="0" w:color="auto"/>
            </w:tcBorders>
            <w:shd w:val="clear" w:color="auto" w:fill="auto"/>
          </w:tcPr>
          <w:p w14:paraId="03F6AE19"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15</w:t>
            </w:r>
          </w:p>
        </w:tc>
      </w:tr>
      <w:tr w:rsidR="00ED3D82" w:rsidRPr="00170686" w14:paraId="528D8518" w14:textId="77777777" w:rsidTr="00364FC8">
        <w:trPr>
          <w:jc w:val="center"/>
        </w:trPr>
        <w:tc>
          <w:tcPr>
            <w:tcW w:w="1387" w:type="pct"/>
            <w:shd w:val="clear" w:color="auto" w:fill="auto"/>
          </w:tcPr>
          <w:p w14:paraId="6D99AE37"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Female</w:t>
            </w:r>
          </w:p>
        </w:tc>
        <w:tc>
          <w:tcPr>
            <w:tcW w:w="1387" w:type="pct"/>
            <w:shd w:val="clear" w:color="auto" w:fill="auto"/>
          </w:tcPr>
          <w:p w14:paraId="3BBD5FBA"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28</w:t>
            </w:r>
          </w:p>
        </w:tc>
        <w:tc>
          <w:tcPr>
            <w:tcW w:w="1388" w:type="pct"/>
            <w:shd w:val="clear" w:color="auto" w:fill="auto"/>
          </w:tcPr>
          <w:p w14:paraId="6B0E4433"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5</w:t>
            </w:r>
          </w:p>
        </w:tc>
        <w:tc>
          <w:tcPr>
            <w:tcW w:w="838" w:type="pct"/>
            <w:shd w:val="clear" w:color="auto" w:fill="auto"/>
          </w:tcPr>
          <w:p w14:paraId="1D5B4C5E"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33</w:t>
            </w:r>
          </w:p>
        </w:tc>
      </w:tr>
      <w:tr w:rsidR="00ED3D82" w:rsidRPr="00170686" w14:paraId="1B6A4ED6" w14:textId="77777777" w:rsidTr="00364FC8">
        <w:trPr>
          <w:jc w:val="center"/>
        </w:trPr>
        <w:tc>
          <w:tcPr>
            <w:tcW w:w="1387" w:type="pct"/>
            <w:tcBorders>
              <w:bottom w:val="single" w:sz="12" w:space="0" w:color="auto"/>
            </w:tcBorders>
            <w:shd w:val="clear" w:color="auto" w:fill="auto"/>
          </w:tcPr>
          <w:p w14:paraId="1A37C67C"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Total</w:t>
            </w:r>
          </w:p>
        </w:tc>
        <w:tc>
          <w:tcPr>
            <w:tcW w:w="1387" w:type="pct"/>
            <w:tcBorders>
              <w:bottom w:val="single" w:sz="12" w:space="0" w:color="auto"/>
            </w:tcBorders>
            <w:shd w:val="clear" w:color="auto" w:fill="auto"/>
          </w:tcPr>
          <w:p w14:paraId="68C63193"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40</w:t>
            </w:r>
          </w:p>
        </w:tc>
        <w:tc>
          <w:tcPr>
            <w:tcW w:w="1388" w:type="pct"/>
            <w:tcBorders>
              <w:bottom w:val="single" w:sz="12" w:space="0" w:color="auto"/>
            </w:tcBorders>
            <w:shd w:val="clear" w:color="auto" w:fill="auto"/>
          </w:tcPr>
          <w:p w14:paraId="1668CCE4"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8</w:t>
            </w:r>
          </w:p>
        </w:tc>
        <w:tc>
          <w:tcPr>
            <w:tcW w:w="838" w:type="pct"/>
            <w:tcBorders>
              <w:bottom w:val="single" w:sz="12" w:space="0" w:color="auto"/>
            </w:tcBorders>
            <w:shd w:val="clear" w:color="auto" w:fill="auto"/>
          </w:tcPr>
          <w:p w14:paraId="4D88FD4D" w14:textId="77777777" w:rsidR="00ED3D82" w:rsidRPr="00170686" w:rsidRDefault="00ED3D82" w:rsidP="00170686">
            <w:pPr>
              <w:jc w:val="center"/>
              <w:rPr>
                <w:rFonts w:cs="Arial"/>
                <w:sz w:val="22"/>
                <w:szCs w:val="22"/>
                <w:lang w:val="en-MY" w:eastAsia="en-US"/>
              </w:rPr>
            </w:pPr>
            <w:r w:rsidRPr="00170686">
              <w:rPr>
                <w:rFonts w:cs="Arial"/>
                <w:sz w:val="22"/>
                <w:szCs w:val="22"/>
                <w:lang w:val="en-MY" w:eastAsia="en-US"/>
              </w:rPr>
              <w:t>48</w:t>
            </w:r>
          </w:p>
        </w:tc>
      </w:tr>
    </w:tbl>
    <w:p w14:paraId="53BFB123" w14:textId="07057394" w:rsidR="00ED3D82" w:rsidRPr="00446924" w:rsidRDefault="00DD4C54" w:rsidP="00430D80">
      <w:pPr>
        <w:pStyle w:val="Nadpis3"/>
        <w:numPr>
          <w:ilvl w:val="1"/>
          <w:numId w:val="1"/>
        </w:numPr>
        <w:spacing w:before="280" w:after="280"/>
        <w:ind w:left="850" w:hanging="425"/>
        <w:contextualSpacing/>
      </w:pPr>
      <w:r w:rsidRPr="00DD4C54">
        <w:lastRenderedPageBreak/>
        <w:t>Investigating the research questions</w:t>
      </w:r>
    </w:p>
    <w:p w14:paraId="7BFB6B78" w14:textId="33DE7815" w:rsidR="009A7ABC" w:rsidRPr="009A7ABC" w:rsidRDefault="009A7ABC" w:rsidP="009A7ABC">
      <w:pPr>
        <w:pStyle w:val="Podtitul"/>
        <w:jc w:val="both"/>
        <w:rPr>
          <w:b w:val="0"/>
          <w:bCs w:val="0"/>
          <w:lang w:val="en-GB"/>
        </w:rPr>
      </w:pPr>
      <w:r w:rsidRPr="009A7ABC">
        <w:rPr>
          <w:b w:val="0"/>
          <w:bCs w:val="0"/>
          <w:lang w:val="en-GB"/>
        </w:rPr>
        <w:t xml:space="preserve">The first research question dealt with the areas and sub-branches of the </w:t>
      </w:r>
      <w:proofErr w:type="spellStart"/>
      <w:r w:rsidRPr="009A7ABC">
        <w:rPr>
          <w:b w:val="0"/>
          <w:bCs w:val="0"/>
          <w:lang w:val="en-GB"/>
        </w:rPr>
        <w:t>S</w:t>
      </w:r>
      <w:r w:rsidR="003748BF">
        <w:rPr>
          <w:b w:val="0"/>
          <w:bCs w:val="0"/>
          <w:lang w:val="en-GB"/>
        </w:rPr>
        <w:t>o</w:t>
      </w:r>
      <w:r w:rsidRPr="009A7ABC">
        <w:rPr>
          <w:b w:val="0"/>
          <w:bCs w:val="0"/>
          <w:lang w:val="en-GB"/>
        </w:rPr>
        <w:t>T</w:t>
      </w:r>
      <w:proofErr w:type="spellEnd"/>
      <w:r w:rsidRPr="009A7ABC">
        <w:rPr>
          <w:b w:val="0"/>
          <w:bCs w:val="0"/>
          <w:lang w:val="en-GB"/>
        </w:rPr>
        <w:t xml:space="preserve"> that were explored by the Iranian postgraduate researchers. To answer the first research question, the authors of the study conducted a qualitative content analysis of the abstract sections of the 48 studies. Using double-checks and the information in Table 1 as a guide, we were able to determine the areas and territories of the </w:t>
      </w:r>
      <w:proofErr w:type="spellStart"/>
      <w:r w:rsidRPr="009A7ABC">
        <w:rPr>
          <w:b w:val="0"/>
          <w:bCs w:val="0"/>
          <w:lang w:val="en-GB"/>
        </w:rPr>
        <w:t>S</w:t>
      </w:r>
      <w:r w:rsidR="003748BF">
        <w:rPr>
          <w:b w:val="0"/>
          <w:bCs w:val="0"/>
          <w:lang w:val="en-GB"/>
        </w:rPr>
        <w:t>o</w:t>
      </w:r>
      <w:r w:rsidRPr="009A7ABC">
        <w:rPr>
          <w:b w:val="0"/>
          <w:bCs w:val="0"/>
          <w:lang w:val="en-GB"/>
        </w:rPr>
        <w:t>T</w:t>
      </w:r>
      <w:proofErr w:type="spellEnd"/>
      <w:r w:rsidRPr="009A7ABC">
        <w:rPr>
          <w:b w:val="0"/>
          <w:bCs w:val="0"/>
          <w:lang w:val="en-GB"/>
        </w:rPr>
        <w:t xml:space="preserve"> that were investigated by the Iranian postgraduate students. A summary of descriptive statistics for the areas and sub-branches of the </w:t>
      </w:r>
      <w:proofErr w:type="spellStart"/>
      <w:r w:rsidRPr="009A7ABC">
        <w:rPr>
          <w:b w:val="0"/>
          <w:bCs w:val="0"/>
          <w:lang w:val="en-GB"/>
        </w:rPr>
        <w:t>S</w:t>
      </w:r>
      <w:r w:rsidR="003748BF">
        <w:rPr>
          <w:b w:val="0"/>
          <w:bCs w:val="0"/>
          <w:lang w:val="en-GB"/>
        </w:rPr>
        <w:t>o</w:t>
      </w:r>
      <w:r w:rsidRPr="009A7ABC">
        <w:rPr>
          <w:b w:val="0"/>
          <w:bCs w:val="0"/>
          <w:lang w:val="en-GB"/>
        </w:rPr>
        <w:t>T</w:t>
      </w:r>
      <w:proofErr w:type="spellEnd"/>
      <w:r w:rsidRPr="009A7ABC">
        <w:rPr>
          <w:b w:val="0"/>
          <w:bCs w:val="0"/>
          <w:lang w:val="en-GB"/>
        </w:rPr>
        <w:t xml:space="preserve"> as investigated by Iranian postgraduate researchers is depicted in Table 4.</w:t>
      </w:r>
    </w:p>
    <w:p w14:paraId="0A06C757" w14:textId="7DE5E657" w:rsidR="009A7ABC" w:rsidRDefault="009A7ABC" w:rsidP="003D5412">
      <w:pPr>
        <w:pStyle w:val="Podtitul"/>
        <w:spacing w:before="160" w:after="120" w:line="360" w:lineRule="auto"/>
        <w:jc w:val="left"/>
        <w:rPr>
          <w:b w:val="0"/>
          <w:bCs w:val="0"/>
          <w:lang w:val="en-GB"/>
        </w:rPr>
      </w:pPr>
      <w:r w:rsidRPr="009A7ABC">
        <w:rPr>
          <w:b w:val="0"/>
          <w:bCs w:val="0"/>
          <w:lang w:val="en-GB"/>
        </w:rPr>
        <w:t>Table 4</w:t>
      </w:r>
      <w:r w:rsidR="00044370">
        <w:rPr>
          <w:b w:val="0"/>
          <w:bCs w:val="0"/>
          <w:lang w:val="en-GB"/>
        </w:rPr>
        <w:t>:</w:t>
      </w:r>
      <w:r w:rsidRPr="009A7ABC">
        <w:rPr>
          <w:b w:val="0"/>
          <w:bCs w:val="0"/>
          <w:lang w:val="en-GB"/>
        </w:rPr>
        <w:t xml:space="preserve"> Areas/sub-branches of </w:t>
      </w:r>
      <w:proofErr w:type="spellStart"/>
      <w:r w:rsidRPr="009A7ABC">
        <w:rPr>
          <w:b w:val="0"/>
          <w:bCs w:val="0"/>
          <w:lang w:val="en-GB"/>
        </w:rPr>
        <w:t>S</w:t>
      </w:r>
      <w:r w:rsidR="003748BF">
        <w:rPr>
          <w:b w:val="0"/>
          <w:bCs w:val="0"/>
          <w:lang w:val="en-GB"/>
        </w:rPr>
        <w:t>o</w:t>
      </w:r>
      <w:r w:rsidRPr="009A7ABC">
        <w:rPr>
          <w:b w:val="0"/>
          <w:bCs w:val="0"/>
          <w:lang w:val="en-GB"/>
        </w:rPr>
        <w:t>T</w:t>
      </w:r>
      <w:proofErr w:type="spellEnd"/>
      <w:r w:rsidRPr="009A7ABC">
        <w:rPr>
          <w:b w:val="0"/>
          <w:bCs w:val="0"/>
          <w:lang w:val="en-GB"/>
        </w:rPr>
        <w:t xml:space="preserve"> as investigated by the researchers</w:t>
      </w:r>
    </w:p>
    <w:tbl>
      <w:tblPr>
        <w:tblW w:w="5000" w:type="pct"/>
        <w:jc w:val="center"/>
        <w:tblLook w:val="04A0" w:firstRow="1" w:lastRow="0" w:firstColumn="1" w:lastColumn="0" w:noHBand="0" w:noVBand="1"/>
      </w:tblPr>
      <w:tblGrid>
        <w:gridCol w:w="574"/>
        <w:gridCol w:w="4542"/>
        <w:gridCol w:w="1955"/>
        <w:gridCol w:w="1955"/>
      </w:tblGrid>
      <w:tr w:rsidR="009A7ABC" w:rsidRPr="00170686" w14:paraId="4D595FE5" w14:textId="77777777" w:rsidTr="00364FC8">
        <w:trPr>
          <w:tblHeader/>
          <w:jc w:val="center"/>
        </w:trPr>
        <w:tc>
          <w:tcPr>
            <w:tcW w:w="318" w:type="pct"/>
            <w:tcBorders>
              <w:top w:val="single" w:sz="12" w:space="0" w:color="auto"/>
              <w:bottom w:val="single" w:sz="12" w:space="0" w:color="auto"/>
            </w:tcBorders>
            <w:shd w:val="clear" w:color="auto" w:fill="auto"/>
          </w:tcPr>
          <w:p w14:paraId="411A198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No.</w:t>
            </w:r>
          </w:p>
        </w:tc>
        <w:tc>
          <w:tcPr>
            <w:tcW w:w="2516" w:type="pct"/>
            <w:tcBorders>
              <w:top w:val="single" w:sz="12" w:space="0" w:color="auto"/>
              <w:bottom w:val="single" w:sz="12" w:space="0" w:color="auto"/>
            </w:tcBorders>
            <w:shd w:val="clear" w:color="auto" w:fill="auto"/>
          </w:tcPr>
          <w:p w14:paraId="2152A12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Area/Sub-Branch</w:t>
            </w:r>
          </w:p>
        </w:tc>
        <w:tc>
          <w:tcPr>
            <w:tcW w:w="1083" w:type="pct"/>
            <w:tcBorders>
              <w:top w:val="single" w:sz="12" w:space="0" w:color="auto"/>
              <w:bottom w:val="single" w:sz="12" w:space="0" w:color="auto"/>
            </w:tcBorders>
            <w:shd w:val="clear" w:color="auto" w:fill="auto"/>
          </w:tcPr>
          <w:p w14:paraId="79FDC6E2"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Frequency (N)</w:t>
            </w:r>
          </w:p>
        </w:tc>
        <w:tc>
          <w:tcPr>
            <w:tcW w:w="1083" w:type="pct"/>
            <w:tcBorders>
              <w:top w:val="single" w:sz="12" w:space="0" w:color="auto"/>
              <w:bottom w:val="single" w:sz="12" w:space="0" w:color="auto"/>
            </w:tcBorders>
            <w:shd w:val="clear" w:color="auto" w:fill="auto"/>
          </w:tcPr>
          <w:p w14:paraId="17C3CB42"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Percentage (%)</w:t>
            </w:r>
          </w:p>
        </w:tc>
      </w:tr>
      <w:tr w:rsidR="009A7ABC" w:rsidRPr="00170686" w14:paraId="5C0186A5" w14:textId="77777777" w:rsidTr="00364FC8">
        <w:trPr>
          <w:trHeight w:val="226"/>
          <w:jc w:val="center"/>
        </w:trPr>
        <w:tc>
          <w:tcPr>
            <w:tcW w:w="318" w:type="pct"/>
            <w:tcBorders>
              <w:top w:val="single" w:sz="12" w:space="0" w:color="auto"/>
            </w:tcBorders>
            <w:shd w:val="clear" w:color="auto" w:fill="auto"/>
          </w:tcPr>
          <w:p w14:paraId="78C0A184" w14:textId="77777777" w:rsidR="009A7ABC" w:rsidRPr="00170686" w:rsidRDefault="009A7ABC" w:rsidP="00170686">
            <w:pPr>
              <w:contextualSpacing/>
              <w:jc w:val="center"/>
              <w:rPr>
                <w:rFonts w:cs="Arial"/>
                <w:sz w:val="22"/>
                <w:szCs w:val="22"/>
                <w:lang w:val="en-MY" w:eastAsia="en-US"/>
              </w:rPr>
            </w:pPr>
            <w:r w:rsidRPr="00170686">
              <w:rPr>
                <w:rFonts w:cs="Arial"/>
                <w:sz w:val="22"/>
                <w:szCs w:val="22"/>
                <w:lang w:val="en-MY" w:eastAsia="en-US"/>
              </w:rPr>
              <w:t>1</w:t>
            </w:r>
          </w:p>
        </w:tc>
        <w:tc>
          <w:tcPr>
            <w:tcW w:w="2516" w:type="pct"/>
            <w:tcBorders>
              <w:top w:val="single" w:sz="12" w:space="0" w:color="auto"/>
            </w:tcBorders>
            <w:shd w:val="clear" w:color="auto" w:fill="auto"/>
          </w:tcPr>
          <w:p w14:paraId="1101302E" w14:textId="3C715639" w:rsidR="009A7ABC" w:rsidRPr="00170686" w:rsidRDefault="009A7ABC" w:rsidP="00B00276">
            <w:pPr>
              <w:contextualSpacing/>
              <w:rPr>
                <w:rFonts w:cs="Arial"/>
                <w:sz w:val="22"/>
                <w:szCs w:val="22"/>
                <w:lang w:val="en-MY" w:eastAsia="en-US"/>
              </w:rPr>
            </w:pPr>
            <w:bookmarkStart w:id="0" w:name="_Hlk143015832"/>
            <w:r w:rsidRPr="00170686">
              <w:rPr>
                <w:rFonts w:cs="Arial"/>
                <w:sz w:val="22"/>
                <w:szCs w:val="22"/>
                <w:lang w:val="en-MY" w:eastAsia="en-US"/>
              </w:rPr>
              <w:t>Translators’ Capital</w:t>
            </w:r>
            <w:bookmarkEnd w:id="0"/>
          </w:p>
        </w:tc>
        <w:tc>
          <w:tcPr>
            <w:tcW w:w="1083" w:type="pct"/>
            <w:tcBorders>
              <w:top w:val="single" w:sz="12" w:space="0" w:color="auto"/>
            </w:tcBorders>
            <w:shd w:val="clear" w:color="auto" w:fill="auto"/>
          </w:tcPr>
          <w:p w14:paraId="75A2057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w:t>
            </w:r>
          </w:p>
        </w:tc>
        <w:tc>
          <w:tcPr>
            <w:tcW w:w="1083" w:type="pct"/>
            <w:tcBorders>
              <w:top w:val="single" w:sz="12" w:space="0" w:color="auto"/>
            </w:tcBorders>
            <w:shd w:val="clear" w:color="auto" w:fill="auto"/>
          </w:tcPr>
          <w:p w14:paraId="63B96FC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10.20</w:t>
            </w:r>
          </w:p>
        </w:tc>
      </w:tr>
      <w:tr w:rsidR="009A7ABC" w:rsidRPr="00170686" w14:paraId="4B59DDED" w14:textId="77777777" w:rsidTr="00364FC8">
        <w:trPr>
          <w:jc w:val="center"/>
        </w:trPr>
        <w:tc>
          <w:tcPr>
            <w:tcW w:w="318" w:type="pct"/>
            <w:shd w:val="clear" w:color="auto" w:fill="auto"/>
          </w:tcPr>
          <w:p w14:paraId="41975CF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w:t>
            </w:r>
          </w:p>
        </w:tc>
        <w:tc>
          <w:tcPr>
            <w:tcW w:w="2516" w:type="pct"/>
            <w:shd w:val="clear" w:color="auto" w:fill="auto"/>
          </w:tcPr>
          <w:p w14:paraId="66D6D861" w14:textId="77777777" w:rsidR="009A7ABC" w:rsidRPr="00170686" w:rsidRDefault="009A7ABC" w:rsidP="00B00276">
            <w:pPr>
              <w:rPr>
                <w:rFonts w:cs="Arial"/>
                <w:sz w:val="22"/>
                <w:szCs w:val="22"/>
                <w:lang w:val="en-MY" w:eastAsia="en-US"/>
              </w:rPr>
            </w:pPr>
            <w:bookmarkStart w:id="1" w:name="_Hlk87741799"/>
            <w:r w:rsidRPr="00170686">
              <w:rPr>
                <w:rFonts w:cs="Arial"/>
                <w:sz w:val="22"/>
                <w:szCs w:val="22"/>
                <w:lang w:val="en-MY" w:eastAsia="en-US"/>
              </w:rPr>
              <w:t>Translators’ Habitus</w:t>
            </w:r>
            <w:bookmarkEnd w:id="1"/>
          </w:p>
        </w:tc>
        <w:tc>
          <w:tcPr>
            <w:tcW w:w="1083" w:type="pct"/>
            <w:shd w:val="clear" w:color="auto" w:fill="auto"/>
          </w:tcPr>
          <w:p w14:paraId="5B38013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9</w:t>
            </w:r>
          </w:p>
        </w:tc>
        <w:tc>
          <w:tcPr>
            <w:tcW w:w="1083" w:type="pct"/>
            <w:shd w:val="clear" w:color="auto" w:fill="auto"/>
          </w:tcPr>
          <w:p w14:paraId="0E937E1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9.18</w:t>
            </w:r>
          </w:p>
        </w:tc>
      </w:tr>
      <w:tr w:rsidR="009A7ABC" w:rsidRPr="00170686" w14:paraId="0E4B23E9" w14:textId="77777777" w:rsidTr="00364FC8">
        <w:trPr>
          <w:jc w:val="center"/>
        </w:trPr>
        <w:tc>
          <w:tcPr>
            <w:tcW w:w="318" w:type="pct"/>
            <w:shd w:val="clear" w:color="auto" w:fill="auto"/>
          </w:tcPr>
          <w:p w14:paraId="51A39A3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2516" w:type="pct"/>
            <w:shd w:val="clear" w:color="auto" w:fill="auto"/>
          </w:tcPr>
          <w:p w14:paraId="0C5F6CD9" w14:textId="77777777" w:rsidR="009A7ABC" w:rsidRPr="00170686" w:rsidRDefault="009A7ABC" w:rsidP="00B00276">
            <w:pPr>
              <w:rPr>
                <w:rFonts w:cs="Arial"/>
                <w:sz w:val="22"/>
                <w:szCs w:val="22"/>
                <w:lang w:val="en-MY" w:eastAsia="en-US"/>
              </w:rPr>
            </w:pPr>
            <w:bookmarkStart w:id="2" w:name="_Hlk87742699"/>
            <w:r w:rsidRPr="00170686">
              <w:rPr>
                <w:rFonts w:cs="Arial"/>
                <w:sz w:val="22"/>
                <w:szCs w:val="22"/>
                <w:lang w:val="en-MY" w:eastAsia="en-US"/>
              </w:rPr>
              <w:t>Agency</w:t>
            </w:r>
            <w:bookmarkEnd w:id="2"/>
          </w:p>
        </w:tc>
        <w:tc>
          <w:tcPr>
            <w:tcW w:w="1083" w:type="pct"/>
            <w:shd w:val="clear" w:color="auto" w:fill="auto"/>
          </w:tcPr>
          <w:p w14:paraId="43DF7DE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8</w:t>
            </w:r>
          </w:p>
        </w:tc>
        <w:tc>
          <w:tcPr>
            <w:tcW w:w="1083" w:type="pct"/>
            <w:shd w:val="clear" w:color="auto" w:fill="auto"/>
          </w:tcPr>
          <w:p w14:paraId="6FEDBBD1"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8.16</w:t>
            </w:r>
          </w:p>
        </w:tc>
      </w:tr>
      <w:tr w:rsidR="009A7ABC" w:rsidRPr="00170686" w14:paraId="3D20666A" w14:textId="77777777" w:rsidTr="00364FC8">
        <w:trPr>
          <w:jc w:val="center"/>
        </w:trPr>
        <w:tc>
          <w:tcPr>
            <w:tcW w:w="318" w:type="pct"/>
            <w:shd w:val="clear" w:color="auto" w:fill="auto"/>
          </w:tcPr>
          <w:p w14:paraId="73AD532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4</w:t>
            </w:r>
          </w:p>
        </w:tc>
        <w:tc>
          <w:tcPr>
            <w:tcW w:w="2516" w:type="pct"/>
            <w:shd w:val="clear" w:color="auto" w:fill="auto"/>
          </w:tcPr>
          <w:p w14:paraId="5B5C9B4B" w14:textId="77777777" w:rsidR="009A7ABC" w:rsidRPr="00170686" w:rsidRDefault="009A7ABC" w:rsidP="00B00276">
            <w:pPr>
              <w:rPr>
                <w:rFonts w:cs="Arial"/>
                <w:sz w:val="22"/>
                <w:szCs w:val="22"/>
                <w:lang w:val="en-MY" w:eastAsia="en-US"/>
              </w:rPr>
            </w:pPr>
            <w:bookmarkStart w:id="3" w:name="_Hlk143015895"/>
            <w:r w:rsidRPr="00170686">
              <w:rPr>
                <w:rFonts w:cs="Arial"/>
                <w:sz w:val="22"/>
                <w:szCs w:val="22"/>
                <w:lang w:val="en-MY" w:eastAsia="en-US"/>
              </w:rPr>
              <w:t>Translation Profession</w:t>
            </w:r>
            <w:bookmarkEnd w:id="3"/>
          </w:p>
        </w:tc>
        <w:tc>
          <w:tcPr>
            <w:tcW w:w="1083" w:type="pct"/>
            <w:shd w:val="clear" w:color="auto" w:fill="auto"/>
          </w:tcPr>
          <w:p w14:paraId="0ABE840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8</w:t>
            </w:r>
          </w:p>
        </w:tc>
        <w:tc>
          <w:tcPr>
            <w:tcW w:w="1083" w:type="pct"/>
            <w:shd w:val="clear" w:color="auto" w:fill="auto"/>
          </w:tcPr>
          <w:p w14:paraId="49DCF7E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8.16</w:t>
            </w:r>
          </w:p>
        </w:tc>
      </w:tr>
      <w:tr w:rsidR="009A7ABC" w:rsidRPr="00170686" w14:paraId="568D8873" w14:textId="77777777" w:rsidTr="00364FC8">
        <w:trPr>
          <w:jc w:val="center"/>
        </w:trPr>
        <w:tc>
          <w:tcPr>
            <w:tcW w:w="318" w:type="pct"/>
            <w:shd w:val="clear" w:color="auto" w:fill="auto"/>
          </w:tcPr>
          <w:p w14:paraId="1F05BB24"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w:t>
            </w:r>
          </w:p>
        </w:tc>
        <w:tc>
          <w:tcPr>
            <w:tcW w:w="2516" w:type="pct"/>
            <w:shd w:val="clear" w:color="auto" w:fill="auto"/>
          </w:tcPr>
          <w:p w14:paraId="39E90442"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Role of Translation in Society</w:t>
            </w:r>
          </w:p>
        </w:tc>
        <w:tc>
          <w:tcPr>
            <w:tcW w:w="1083" w:type="pct"/>
            <w:shd w:val="clear" w:color="auto" w:fill="auto"/>
          </w:tcPr>
          <w:p w14:paraId="3B5529F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w:t>
            </w:r>
          </w:p>
        </w:tc>
        <w:tc>
          <w:tcPr>
            <w:tcW w:w="1083" w:type="pct"/>
            <w:shd w:val="clear" w:color="auto" w:fill="auto"/>
          </w:tcPr>
          <w:p w14:paraId="4D371E2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5.10</w:t>
            </w:r>
          </w:p>
        </w:tc>
      </w:tr>
      <w:tr w:rsidR="009A7ABC" w:rsidRPr="00170686" w14:paraId="1A5ED5A1" w14:textId="77777777" w:rsidTr="00364FC8">
        <w:trPr>
          <w:jc w:val="center"/>
        </w:trPr>
        <w:tc>
          <w:tcPr>
            <w:tcW w:w="318" w:type="pct"/>
            <w:shd w:val="clear" w:color="auto" w:fill="auto"/>
          </w:tcPr>
          <w:p w14:paraId="0EB8976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6</w:t>
            </w:r>
          </w:p>
        </w:tc>
        <w:tc>
          <w:tcPr>
            <w:tcW w:w="2516" w:type="pct"/>
            <w:shd w:val="clear" w:color="auto" w:fill="auto"/>
          </w:tcPr>
          <w:p w14:paraId="5A94BB95" w14:textId="77777777" w:rsidR="009A7ABC" w:rsidRPr="00170686" w:rsidRDefault="009A7ABC" w:rsidP="00B00276">
            <w:pPr>
              <w:rPr>
                <w:rFonts w:cs="Arial"/>
                <w:sz w:val="22"/>
                <w:szCs w:val="22"/>
                <w:lang w:val="en-MY" w:eastAsia="en-US"/>
              </w:rPr>
            </w:pPr>
            <w:bookmarkStart w:id="4" w:name="_Hlk143015915"/>
            <w:r w:rsidRPr="00170686">
              <w:rPr>
                <w:rFonts w:cs="Arial"/>
                <w:sz w:val="22"/>
                <w:szCs w:val="22"/>
                <w:lang w:val="en-MY" w:eastAsia="en-US"/>
              </w:rPr>
              <w:t>Translators’ Status</w:t>
            </w:r>
            <w:bookmarkEnd w:id="4"/>
          </w:p>
        </w:tc>
        <w:tc>
          <w:tcPr>
            <w:tcW w:w="1083" w:type="pct"/>
            <w:shd w:val="clear" w:color="auto" w:fill="auto"/>
          </w:tcPr>
          <w:p w14:paraId="16ED1E52"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w:t>
            </w:r>
          </w:p>
        </w:tc>
        <w:tc>
          <w:tcPr>
            <w:tcW w:w="1083" w:type="pct"/>
            <w:shd w:val="clear" w:color="auto" w:fill="auto"/>
          </w:tcPr>
          <w:p w14:paraId="21B0E571"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5.10</w:t>
            </w:r>
          </w:p>
        </w:tc>
      </w:tr>
      <w:tr w:rsidR="009A7ABC" w:rsidRPr="00170686" w14:paraId="626E3E70" w14:textId="77777777" w:rsidTr="00364FC8">
        <w:trPr>
          <w:jc w:val="center"/>
        </w:trPr>
        <w:tc>
          <w:tcPr>
            <w:tcW w:w="318" w:type="pct"/>
            <w:shd w:val="clear" w:color="auto" w:fill="auto"/>
          </w:tcPr>
          <w:p w14:paraId="43363018"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7</w:t>
            </w:r>
          </w:p>
        </w:tc>
        <w:tc>
          <w:tcPr>
            <w:tcW w:w="2516" w:type="pct"/>
            <w:shd w:val="clear" w:color="auto" w:fill="auto"/>
          </w:tcPr>
          <w:p w14:paraId="10DFE1D0" w14:textId="77777777" w:rsidR="009A7ABC" w:rsidRPr="00170686" w:rsidRDefault="009A7ABC" w:rsidP="00B00276">
            <w:pPr>
              <w:rPr>
                <w:rFonts w:cs="Arial"/>
                <w:sz w:val="22"/>
                <w:szCs w:val="22"/>
                <w:lang w:val="en-MY" w:eastAsia="en-US"/>
              </w:rPr>
            </w:pPr>
            <w:bookmarkStart w:id="5" w:name="_Hlk143015935"/>
            <w:r w:rsidRPr="00170686">
              <w:rPr>
                <w:rFonts w:cs="Arial"/>
                <w:sz w:val="22"/>
                <w:szCs w:val="22"/>
                <w:lang w:val="en-MY" w:eastAsia="en-US"/>
              </w:rPr>
              <w:t>Translators’ Field</w:t>
            </w:r>
            <w:bookmarkEnd w:id="5"/>
          </w:p>
        </w:tc>
        <w:tc>
          <w:tcPr>
            <w:tcW w:w="1083" w:type="pct"/>
            <w:shd w:val="clear" w:color="auto" w:fill="auto"/>
          </w:tcPr>
          <w:p w14:paraId="77E69AE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4</w:t>
            </w:r>
          </w:p>
        </w:tc>
        <w:tc>
          <w:tcPr>
            <w:tcW w:w="1083" w:type="pct"/>
            <w:shd w:val="clear" w:color="auto" w:fill="auto"/>
          </w:tcPr>
          <w:p w14:paraId="64D1DF3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4.08</w:t>
            </w:r>
          </w:p>
        </w:tc>
      </w:tr>
      <w:tr w:rsidR="009A7ABC" w:rsidRPr="00170686" w14:paraId="5B7D3149" w14:textId="77777777" w:rsidTr="00364FC8">
        <w:trPr>
          <w:jc w:val="center"/>
        </w:trPr>
        <w:tc>
          <w:tcPr>
            <w:tcW w:w="318" w:type="pct"/>
            <w:shd w:val="clear" w:color="auto" w:fill="auto"/>
          </w:tcPr>
          <w:p w14:paraId="3A5E44A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8</w:t>
            </w:r>
          </w:p>
        </w:tc>
        <w:tc>
          <w:tcPr>
            <w:tcW w:w="2516" w:type="pct"/>
            <w:shd w:val="clear" w:color="auto" w:fill="auto"/>
          </w:tcPr>
          <w:p w14:paraId="4D7B8438" w14:textId="77777777" w:rsidR="009A7ABC" w:rsidRPr="00170686" w:rsidRDefault="009A7ABC" w:rsidP="00B00276">
            <w:pPr>
              <w:rPr>
                <w:rFonts w:cs="Arial"/>
                <w:sz w:val="22"/>
                <w:szCs w:val="22"/>
                <w:lang w:val="en-MY" w:eastAsia="en-US"/>
              </w:rPr>
            </w:pPr>
            <w:bookmarkStart w:id="6" w:name="_Hlk87742877"/>
            <w:r w:rsidRPr="00170686">
              <w:rPr>
                <w:rFonts w:cs="Arial"/>
                <w:sz w:val="22"/>
                <w:szCs w:val="22"/>
                <w:lang w:val="en-MY" w:eastAsia="en-US"/>
              </w:rPr>
              <w:t xml:space="preserve">Translators’ Job Market </w:t>
            </w:r>
            <w:bookmarkEnd w:id="6"/>
          </w:p>
        </w:tc>
        <w:tc>
          <w:tcPr>
            <w:tcW w:w="1083" w:type="pct"/>
            <w:shd w:val="clear" w:color="auto" w:fill="auto"/>
          </w:tcPr>
          <w:p w14:paraId="168C26D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4</w:t>
            </w:r>
          </w:p>
        </w:tc>
        <w:tc>
          <w:tcPr>
            <w:tcW w:w="1083" w:type="pct"/>
            <w:shd w:val="clear" w:color="auto" w:fill="auto"/>
          </w:tcPr>
          <w:p w14:paraId="19BBFA4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4.08</w:t>
            </w:r>
          </w:p>
        </w:tc>
      </w:tr>
      <w:tr w:rsidR="009A7ABC" w:rsidRPr="00170686" w14:paraId="4F2DCCDF" w14:textId="77777777" w:rsidTr="00364FC8">
        <w:trPr>
          <w:jc w:val="center"/>
        </w:trPr>
        <w:tc>
          <w:tcPr>
            <w:tcW w:w="318" w:type="pct"/>
            <w:shd w:val="clear" w:color="auto" w:fill="auto"/>
          </w:tcPr>
          <w:p w14:paraId="6CD89FE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9</w:t>
            </w:r>
          </w:p>
        </w:tc>
        <w:tc>
          <w:tcPr>
            <w:tcW w:w="2516" w:type="pct"/>
            <w:shd w:val="clear" w:color="auto" w:fill="auto"/>
          </w:tcPr>
          <w:p w14:paraId="4D7B275A" w14:textId="77777777" w:rsidR="009A7ABC" w:rsidRPr="00170686" w:rsidRDefault="009A7ABC" w:rsidP="00B00276">
            <w:pPr>
              <w:rPr>
                <w:rFonts w:cs="Arial"/>
                <w:sz w:val="22"/>
                <w:szCs w:val="22"/>
                <w:lang w:val="en-MY" w:eastAsia="en-US"/>
              </w:rPr>
            </w:pPr>
            <w:bookmarkStart w:id="7" w:name="_Hlk143015982"/>
            <w:r w:rsidRPr="00170686">
              <w:rPr>
                <w:rFonts w:cs="Arial"/>
                <w:sz w:val="22"/>
                <w:szCs w:val="22"/>
                <w:lang w:val="en-MY" w:eastAsia="en-US"/>
              </w:rPr>
              <w:t xml:space="preserve">Translation Movements </w:t>
            </w:r>
            <w:bookmarkEnd w:id="7"/>
          </w:p>
        </w:tc>
        <w:tc>
          <w:tcPr>
            <w:tcW w:w="1083" w:type="pct"/>
            <w:shd w:val="clear" w:color="auto" w:fill="auto"/>
          </w:tcPr>
          <w:p w14:paraId="08A177A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4</w:t>
            </w:r>
          </w:p>
        </w:tc>
        <w:tc>
          <w:tcPr>
            <w:tcW w:w="1083" w:type="pct"/>
            <w:shd w:val="clear" w:color="auto" w:fill="auto"/>
          </w:tcPr>
          <w:p w14:paraId="3577C78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4.08</w:t>
            </w:r>
          </w:p>
        </w:tc>
      </w:tr>
      <w:tr w:rsidR="009A7ABC" w:rsidRPr="00170686" w14:paraId="6793EADE" w14:textId="77777777" w:rsidTr="00364FC8">
        <w:trPr>
          <w:jc w:val="center"/>
        </w:trPr>
        <w:tc>
          <w:tcPr>
            <w:tcW w:w="318" w:type="pct"/>
            <w:shd w:val="clear" w:color="auto" w:fill="auto"/>
          </w:tcPr>
          <w:p w14:paraId="2B19708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w:t>
            </w:r>
          </w:p>
        </w:tc>
        <w:tc>
          <w:tcPr>
            <w:tcW w:w="2516" w:type="pct"/>
            <w:shd w:val="clear" w:color="auto" w:fill="auto"/>
          </w:tcPr>
          <w:p w14:paraId="09FE21D7" w14:textId="77777777" w:rsidR="009A7ABC" w:rsidRPr="00170686" w:rsidRDefault="009A7ABC" w:rsidP="00B00276">
            <w:pPr>
              <w:rPr>
                <w:rFonts w:cs="Arial"/>
                <w:sz w:val="22"/>
                <w:szCs w:val="22"/>
                <w:lang w:val="en-MY" w:eastAsia="en-US"/>
              </w:rPr>
            </w:pPr>
            <w:bookmarkStart w:id="8" w:name="_Hlk87742745"/>
            <w:r w:rsidRPr="00170686">
              <w:rPr>
                <w:rFonts w:cs="Arial"/>
                <w:sz w:val="22"/>
                <w:szCs w:val="22"/>
                <w:lang w:val="en-MY" w:eastAsia="en-US"/>
              </w:rPr>
              <w:t xml:space="preserve">Translators’ Activism </w:t>
            </w:r>
            <w:bookmarkEnd w:id="8"/>
          </w:p>
        </w:tc>
        <w:tc>
          <w:tcPr>
            <w:tcW w:w="1083" w:type="pct"/>
            <w:shd w:val="clear" w:color="auto" w:fill="auto"/>
          </w:tcPr>
          <w:p w14:paraId="7564FD2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1083" w:type="pct"/>
            <w:shd w:val="clear" w:color="auto" w:fill="auto"/>
          </w:tcPr>
          <w:p w14:paraId="3E51EA3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3.06</w:t>
            </w:r>
          </w:p>
        </w:tc>
      </w:tr>
      <w:tr w:rsidR="009A7ABC" w:rsidRPr="00170686" w14:paraId="30C00122" w14:textId="77777777" w:rsidTr="00364FC8">
        <w:trPr>
          <w:jc w:val="center"/>
        </w:trPr>
        <w:tc>
          <w:tcPr>
            <w:tcW w:w="318" w:type="pct"/>
            <w:shd w:val="clear" w:color="auto" w:fill="auto"/>
          </w:tcPr>
          <w:p w14:paraId="30A6362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11</w:t>
            </w:r>
          </w:p>
        </w:tc>
        <w:tc>
          <w:tcPr>
            <w:tcW w:w="2516" w:type="pct"/>
            <w:shd w:val="clear" w:color="auto" w:fill="auto"/>
          </w:tcPr>
          <w:p w14:paraId="7377E7B4" w14:textId="77777777" w:rsidR="009A7ABC" w:rsidRPr="00170686" w:rsidRDefault="009A7ABC" w:rsidP="00B00276">
            <w:pPr>
              <w:rPr>
                <w:rFonts w:cs="Arial"/>
                <w:sz w:val="22"/>
                <w:szCs w:val="22"/>
                <w:lang w:val="en-MY" w:eastAsia="en-US"/>
              </w:rPr>
            </w:pPr>
            <w:bookmarkStart w:id="9" w:name="_Hlk87742906"/>
            <w:r w:rsidRPr="00170686">
              <w:rPr>
                <w:rFonts w:cs="Arial"/>
                <w:sz w:val="22"/>
                <w:szCs w:val="22"/>
                <w:lang w:val="en-MY" w:eastAsia="en-US"/>
              </w:rPr>
              <w:t>Translation and Power</w:t>
            </w:r>
            <w:bookmarkEnd w:id="9"/>
          </w:p>
        </w:tc>
        <w:tc>
          <w:tcPr>
            <w:tcW w:w="1083" w:type="pct"/>
            <w:shd w:val="clear" w:color="auto" w:fill="auto"/>
          </w:tcPr>
          <w:p w14:paraId="5A00E26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1083" w:type="pct"/>
            <w:shd w:val="clear" w:color="auto" w:fill="auto"/>
          </w:tcPr>
          <w:p w14:paraId="6EFB10C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3.06</w:t>
            </w:r>
          </w:p>
        </w:tc>
      </w:tr>
      <w:tr w:rsidR="009A7ABC" w:rsidRPr="00170686" w14:paraId="29326E27" w14:textId="77777777" w:rsidTr="00364FC8">
        <w:trPr>
          <w:jc w:val="center"/>
        </w:trPr>
        <w:tc>
          <w:tcPr>
            <w:tcW w:w="318" w:type="pct"/>
            <w:shd w:val="clear" w:color="auto" w:fill="auto"/>
          </w:tcPr>
          <w:p w14:paraId="50F8309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12</w:t>
            </w:r>
          </w:p>
        </w:tc>
        <w:tc>
          <w:tcPr>
            <w:tcW w:w="2516" w:type="pct"/>
            <w:shd w:val="clear" w:color="auto" w:fill="auto"/>
          </w:tcPr>
          <w:p w14:paraId="5C6E113C" w14:textId="77777777" w:rsidR="009A7ABC" w:rsidRPr="00170686" w:rsidRDefault="009A7ABC" w:rsidP="00B00276">
            <w:pPr>
              <w:rPr>
                <w:rFonts w:cs="Arial"/>
                <w:sz w:val="22"/>
                <w:szCs w:val="22"/>
                <w:lang w:val="en-MY" w:eastAsia="en-US"/>
              </w:rPr>
            </w:pPr>
            <w:bookmarkStart w:id="10" w:name="_Hlk143016053"/>
            <w:r w:rsidRPr="00170686">
              <w:rPr>
                <w:rFonts w:cs="Arial"/>
                <w:sz w:val="22"/>
                <w:szCs w:val="22"/>
                <w:lang w:val="en-MY" w:eastAsia="en-US"/>
              </w:rPr>
              <w:t>Translators’ Image</w:t>
            </w:r>
            <w:bookmarkEnd w:id="10"/>
          </w:p>
        </w:tc>
        <w:tc>
          <w:tcPr>
            <w:tcW w:w="1083" w:type="pct"/>
            <w:shd w:val="clear" w:color="auto" w:fill="auto"/>
          </w:tcPr>
          <w:p w14:paraId="059823F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1083" w:type="pct"/>
            <w:shd w:val="clear" w:color="auto" w:fill="auto"/>
          </w:tcPr>
          <w:p w14:paraId="38A83CD4"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3.06</w:t>
            </w:r>
          </w:p>
        </w:tc>
      </w:tr>
      <w:tr w:rsidR="009A7ABC" w:rsidRPr="00170686" w14:paraId="34EF35B6" w14:textId="77777777" w:rsidTr="00364FC8">
        <w:trPr>
          <w:jc w:val="center"/>
        </w:trPr>
        <w:tc>
          <w:tcPr>
            <w:tcW w:w="318" w:type="pct"/>
            <w:shd w:val="clear" w:color="auto" w:fill="auto"/>
          </w:tcPr>
          <w:p w14:paraId="0EB89F8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13</w:t>
            </w:r>
          </w:p>
        </w:tc>
        <w:tc>
          <w:tcPr>
            <w:tcW w:w="2516" w:type="pct"/>
            <w:shd w:val="clear" w:color="auto" w:fill="auto"/>
          </w:tcPr>
          <w:p w14:paraId="5BCD5503" w14:textId="77777777" w:rsidR="009A7ABC" w:rsidRPr="00170686" w:rsidRDefault="009A7ABC" w:rsidP="00B00276">
            <w:pPr>
              <w:rPr>
                <w:rFonts w:cs="Arial"/>
                <w:sz w:val="22"/>
                <w:szCs w:val="22"/>
                <w:lang w:val="en-MY" w:eastAsia="en-US"/>
              </w:rPr>
            </w:pPr>
            <w:bookmarkStart w:id="11" w:name="_Hlk143016077"/>
            <w:r w:rsidRPr="00170686">
              <w:rPr>
                <w:rFonts w:cs="Arial"/>
                <w:sz w:val="22"/>
                <w:szCs w:val="22"/>
                <w:lang w:val="en-MY" w:eastAsia="en-US"/>
              </w:rPr>
              <w:t>Publication Industry</w:t>
            </w:r>
            <w:bookmarkEnd w:id="11"/>
          </w:p>
        </w:tc>
        <w:tc>
          <w:tcPr>
            <w:tcW w:w="1083" w:type="pct"/>
            <w:shd w:val="clear" w:color="auto" w:fill="auto"/>
          </w:tcPr>
          <w:p w14:paraId="6F4332C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1083" w:type="pct"/>
            <w:shd w:val="clear" w:color="auto" w:fill="auto"/>
          </w:tcPr>
          <w:p w14:paraId="0000ACB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3.06</w:t>
            </w:r>
          </w:p>
        </w:tc>
      </w:tr>
      <w:tr w:rsidR="009A7ABC" w:rsidRPr="00170686" w14:paraId="00DA3427" w14:textId="77777777" w:rsidTr="00364FC8">
        <w:trPr>
          <w:jc w:val="center"/>
        </w:trPr>
        <w:tc>
          <w:tcPr>
            <w:tcW w:w="318" w:type="pct"/>
            <w:shd w:val="clear" w:color="auto" w:fill="auto"/>
          </w:tcPr>
          <w:p w14:paraId="57EC4E4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14</w:t>
            </w:r>
          </w:p>
        </w:tc>
        <w:tc>
          <w:tcPr>
            <w:tcW w:w="2516" w:type="pct"/>
            <w:shd w:val="clear" w:color="auto" w:fill="auto"/>
          </w:tcPr>
          <w:p w14:paraId="1F84B6AB" w14:textId="77777777" w:rsidR="009A7ABC" w:rsidRPr="00170686" w:rsidRDefault="009A7ABC" w:rsidP="00B00276">
            <w:pPr>
              <w:rPr>
                <w:rFonts w:cs="Arial"/>
                <w:sz w:val="22"/>
                <w:szCs w:val="22"/>
                <w:lang w:val="en-MY" w:eastAsia="en-US"/>
              </w:rPr>
            </w:pPr>
            <w:bookmarkStart w:id="12" w:name="_Hlk143016102"/>
            <w:r w:rsidRPr="00170686">
              <w:rPr>
                <w:rFonts w:cs="Arial"/>
                <w:sz w:val="22"/>
                <w:szCs w:val="22"/>
                <w:lang w:val="en-MY" w:eastAsia="en-US"/>
              </w:rPr>
              <w:t>Translation Ethics</w:t>
            </w:r>
            <w:bookmarkEnd w:id="12"/>
          </w:p>
        </w:tc>
        <w:tc>
          <w:tcPr>
            <w:tcW w:w="1083" w:type="pct"/>
            <w:shd w:val="clear" w:color="auto" w:fill="auto"/>
          </w:tcPr>
          <w:p w14:paraId="416077A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1083" w:type="pct"/>
            <w:shd w:val="clear" w:color="auto" w:fill="auto"/>
          </w:tcPr>
          <w:p w14:paraId="2CDBA1C8"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3.06</w:t>
            </w:r>
          </w:p>
        </w:tc>
      </w:tr>
      <w:tr w:rsidR="009A7ABC" w:rsidRPr="00170686" w14:paraId="6F72B5FF" w14:textId="77777777" w:rsidTr="00364FC8">
        <w:trPr>
          <w:jc w:val="center"/>
        </w:trPr>
        <w:tc>
          <w:tcPr>
            <w:tcW w:w="318" w:type="pct"/>
            <w:shd w:val="clear" w:color="auto" w:fill="auto"/>
          </w:tcPr>
          <w:p w14:paraId="4E0F5C0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15</w:t>
            </w:r>
          </w:p>
        </w:tc>
        <w:tc>
          <w:tcPr>
            <w:tcW w:w="2516" w:type="pct"/>
            <w:shd w:val="clear" w:color="auto" w:fill="auto"/>
          </w:tcPr>
          <w:p w14:paraId="3E49C080" w14:textId="77777777" w:rsidR="009A7ABC" w:rsidRPr="00170686" w:rsidRDefault="009A7ABC" w:rsidP="00B00276">
            <w:pPr>
              <w:rPr>
                <w:rFonts w:cs="Arial"/>
                <w:sz w:val="22"/>
                <w:szCs w:val="22"/>
                <w:lang w:val="en-MY" w:eastAsia="en-US"/>
              </w:rPr>
            </w:pPr>
            <w:bookmarkStart w:id="13" w:name="_Hlk87742794"/>
            <w:r w:rsidRPr="00170686">
              <w:rPr>
                <w:rFonts w:cs="Arial"/>
                <w:sz w:val="22"/>
                <w:szCs w:val="22"/>
                <w:lang w:val="en-MY" w:eastAsia="en-US"/>
              </w:rPr>
              <w:t>Role of Translators in Society</w:t>
            </w:r>
            <w:bookmarkEnd w:id="13"/>
          </w:p>
        </w:tc>
        <w:tc>
          <w:tcPr>
            <w:tcW w:w="1083" w:type="pct"/>
            <w:shd w:val="clear" w:color="auto" w:fill="auto"/>
          </w:tcPr>
          <w:p w14:paraId="2E6AB28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1083" w:type="pct"/>
            <w:shd w:val="clear" w:color="auto" w:fill="auto"/>
          </w:tcPr>
          <w:p w14:paraId="4E5008E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3.06</w:t>
            </w:r>
          </w:p>
        </w:tc>
      </w:tr>
      <w:tr w:rsidR="009A7ABC" w:rsidRPr="00170686" w14:paraId="6780351F" w14:textId="77777777" w:rsidTr="00364FC8">
        <w:trPr>
          <w:jc w:val="center"/>
        </w:trPr>
        <w:tc>
          <w:tcPr>
            <w:tcW w:w="318" w:type="pct"/>
            <w:shd w:val="clear" w:color="auto" w:fill="auto"/>
          </w:tcPr>
          <w:p w14:paraId="1EBCF24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16</w:t>
            </w:r>
          </w:p>
        </w:tc>
        <w:tc>
          <w:tcPr>
            <w:tcW w:w="2516" w:type="pct"/>
            <w:shd w:val="clear" w:color="auto" w:fill="auto"/>
          </w:tcPr>
          <w:p w14:paraId="51A80E6C"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Translation of Bestsellers</w:t>
            </w:r>
          </w:p>
        </w:tc>
        <w:tc>
          <w:tcPr>
            <w:tcW w:w="1083" w:type="pct"/>
            <w:shd w:val="clear" w:color="auto" w:fill="auto"/>
          </w:tcPr>
          <w:p w14:paraId="373E23A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w:t>
            </w:r>
          </w:p>
        </w:tc>
        <w:tc>
          <w:tcPr>
            <w:tcW w:w="1083" w:type="pct"/>
            <w:shd w:val="clear" w:color="auto" w:fill="auto"/>
          </w:tcPr>
          <w:p w14:paraId="65EA45A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2.04</w:t>
            </w:r>
          </w:p>
        </w:tc>
      </w:tr>
      <w:tr w:rsidR="009A7ABC" w:rsidRPr="00170686" w14:paraId="04DBD6BE" w14:textId="77777777" w:rsidTr="00364FC8">
        <w:trPr>
          <w:jc w:val="center"/>
        </w:trPr>
        <w:tc>
          <w:tcPr>
            <w:tcW w:w="318" w:type="pct"/>
            <w:shd w:val="clear" w:color="auto" w:fill="auto"/>
          </w:tcPr>
          <w:p w14:paraId="3C82CB5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17</w:t>
            </w:r>
          </w:p>
        </w:tc>
        <w:tc>
          <w:tcPr>
            <w:tcW w:w="2516" w:type="pct"/>
            <w:shd w:val="clear" w:color="auto" w:fill="auto"/>
          </w:tcPr>
          <w:p w14:paraId="00BFA3B9" w14:textId="77777777" w:rsidR="009A7ABC" w:rsidRPr="00170686" w:rsidRDefault="009A7ABC" w:rsidP="00B00276">
            <w:pPr>
              <w:rPr>
                <w:rFonts w:cs="Arial"/>
                <w:sz w:val="22"/>
                <w:szCs w:val="22"/>
                <w:lang w:val="en-MY" w:eastAsia="en-US"/>
              </w:rPr>
            </w:pPr>
            <w:bookmarkStart w:id="14" w:name="_Hlk143016173"/>
            <w:r w:rsidRPr="00170686">
              <w:rPr>
                <w:rFonts w:cs="Arial"/>
                <w:sz w:val="22"/>
                <w:szCs w:val="22"/>
                <w:lang w:val="en-MY" w:eastAsia="en-US"/>
              </w:rPr>
              <w:t>Translators’ Job Success</w:t>
            </w:r>
            <w:bookmarkEnd w:id="14"/>
          </w:p>
        </w:tc>
        <w:tc>
          <w:tcPr>
            <w:tcW w:w="1083" w:type="pct"/>
            <w:shd w:val="clear" w:color="auto" w:fill="auto"/>
          </w:tcPr>
          <w:p w14:paraId="52F89EE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w:t>
            </w:r>
          </w:p>
        </w:tc>
        <w:tc>
          <w:tcPr>
            <w:tcW w:w="1083" w:type="pct"/>
            <w:shd w:val="clear" w:color="auto" w:fill="auto"/>
          </w:tcPr>
          <w:p w14:paraId="26F44A8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2.04</w:t>
            </w:r>
          </w:p>
        </w:tc>
      </w:tr>
      <w:tr w:rsidR="009A7ABC" w:rsidRPr="00170686" w14:paraId="44432995" w14:textId="77777777" w:rsidTr="00364FC8">
        <w:trPr>
          <w:jc w:val="center"/>
        </w:trPr>
        <w:tc>
          <w:tcPr>
            <w:tcW w:w="318" w:type="pct"/>
            <w:shd w:val="clear" w:color="auto" w:fill="auto"/>
          </w:tcPr>
          <w:p w14:paraId="00C9E542"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18</w:t>
            </w:r>
          </w:p>
        </w:tc>
        <w:tc>
          <w:tcPr>
            <w:tcW w:w="2516" w:type="pct"/>
            <w:shd w:val="clear" w:color="auto" w:fill="auto"/>
          </w:tcPr>
          <w:p w14:paraId="5C6CCB39" w14:textId="77777777" w:rsidR="009A7ABC" w:rsidRPr="00170686" w:rsidRDefault="009A7ABC" w:rsidP="00B00276">
            <w:pPr>
              <w:rPr>
                <w:rFonts w:cs="Arial"/>
                <w:sz w:val="22"/>
                <w:szCs w:val="22"/>
                <w:lang w:val="en-MY" w:eastAsia="en-US"/>
              </w:rPr>
            </w:pPr>
            <w:bookmarkStart w:id="15" w:name="_Hlk143016197"/>
            <w:r w:rsidRPr="00170686">
              <w:rPr>
                <w:rFonts w:cs="Arial"/>
                <w:sz w:val="22"/>
                <w:szCs w:val="22"/>
                <w:lang w:val="en-MY" w:eastAsia="en-US"/>
              </w:rPr>
              <w:t>Translators’ Job Expectations</w:t>
            </w:r>
            <w:bookmarkEnd w:id="15"/>
          </w:p>
        </w:tc>
        <w:tc>
          <w:tcPr>
            <w:tcW w:w="1083" w:type="pct"/>
            <w:shd w:val="clear" w:color="auto" w:fill="auto"/>
          </w:tcPr>
          <w:p w14:paraId="54BD370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w:t>
            </w:r>
          </w:p>
        </w:tc>
        <w:tc>
          <w:tcPr>
            <w:tcW w:w="1083" w:type="pct"/>
            <w:shd w:val="clear" w:color="auto" w:fill="auto"/>
          </w:tcPr>
          <w:p w14:paraId="79F4ED5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2.04</w:t>
            </w:r>
          </w:p>
        </w:tc>
      </w:tr>
      <w:tr w:rsidR="009A7ABC" w:rsidRPr="00170686" w14:paraId="36035223" w14:textId="77777777" w:rsidTr="00364FC8">
        <w:trPr>
          <w:jc w:val="center"/>
        </w:trPr>
        <w:tc>
          <w:tcPr>
            <w:tcW w:w="318" w:type="pct"/>
            <w:shd w:val="clear" w:color="auto" w:fill="auto"/>
          </w:tcPr>
          <w:p w14:paraId="5F9F0B7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w:t>
            </w:r>
          </w:p>
        </w:tc>
        <w:tc>
          <w:tcPr>
            <w:tcW w:w="2516" w:type="pct"/>
            <w:shd w:val="clear" w:color="auto" w:fill="auto"/>
          </w:tcPr>
          <w:p w14:paraId="738812B2" w14:textId="77777777" w:rsidR="009A7ABC" w:rsidRPr="00170686" w:rsidRDefault="009A7ABC" w:rsidP="00B00276">
            <w:pPr>
              <w:rPr>
                <w:rFonts w:cs="Arial"/>
                <w:sz w:val="22"/>
                <w:szCs w:val="22"/>
                <w:lang w:val="en-MY" w:eastAsia="en-US"/>
              </w:rPr>
            </w:pPr>
            <w:bookmarkStart w:id="16" w:name="_Hlk143016225"/>
            <w:r w:rsidRPr="00170686">
              <w:rPr>
                <w:rFonts w:cs="Arial"/>
                <w:sz w:val="22"/>
                <w:szCs w:val="22"/>
                <w:lang w:val="en-MY" w:eastAsia="en-US"/>
              </w:rPr>
              <w:t>Translator and Interpreter Associations</w:t>
            </w:r>
            <w:bookmarkEnd w:id="16"/>
          </w:p>
        </w:tc>
        <w:tc>
          <w:tcPr>
            <w:tcW w:w="1083" w:type="pct"/>
            <w:shd w:val="clear" w:color="auto" w:fill="auto"/>
          </w:tcPr>
          <w:p w14:paraId="46422C8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73B3063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0DEEB863" w14:textId="77777777" w:rsidTr="00364FC8">
        <w:trPr>
          <w:jc w:val="center"/>
        </w:trPr>
        <w:tc>
          <w:tcPr>
            <w:tcW w:w="318" w:type="pct"/>
            <w:shd w:val="clear" w:color="auto" w:fill="auto"/>
          </w:tcPr>
          <w:p w14:paraId="3872EBD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20</w:t>
            </w:r>
          </w:p>
        </w:tc>
        <w:tc>
          <w:tcPr>
            <w:tcW w:w="2516" w:type="pct"/>
            <w:shd w:val="clear" w:color="auto" w:fill="auto"/>
          </w:tcPr>
          <w:p w14:paraId="2BCEA339" w14:textId="77777777" w:rsidR="009A7ABC" w:rsidRPr="00170686" w:rsidRDefault="009A7ABC" w:rsidP="00B00276">
            <w:pPr>
              <w:rPr>
                <w:rFonts w:cs="Arial"/>
                <w:sz w:val="22"/>
                <w:szCs w:val="22"/>
                <w:lang w:val="en-MY" w:eastAsia="en-US"/>
              </w:rPr>
            </w:pPr>
            <w:bookmarkStart w:id="17" w:name="_Hlk143016273"/>
            <w:r w:rsidRPr="00170686">
              <w:rPr>
                <w:rFonts w:cs="Arial"/>
                <w:sz w:val="22"/>
                <w:szCs w:val="22"/>
                <w:lang w:val="en-MY" w:eastAsia="en-US"/>
              </w:rPr>
              <w:t>Translators’ Perceptions</w:t>
            </w:r>
            <w:bookmarkEnd w:id="17"/>
          </w:p>
        </w:tc>
        <w:tc>
          <w:tcPr>
            <w:tcW w:w="1083" w:type="pct"/>
            <w:shd w:val="clear" w:color="auto" w:fill="auto"/>
          </w:tcPr>
          <w:p w14:paraId="31588EC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2D6B718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17CC5A6E" w14:textId="77777777" w:rsidTr="00364FC8">
        <w:trPr>
          <w:jc w:val="center"/>
        </w:trPr>
        <w:tc>
          <w:tcPr>
            <w:tcW w:w="318" w:type="pct"/>
            <w:shd w:val="clear" w:color="auto" w:fill="auto"/>
          </w:tcPr>
          <w:p w14:paraId="1A2462D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21</w:t>
            </w:r>
          </w:p>
        </w:tc>
        <w:tc>
          <w:tcPr>
            <w:tcW w:w="2516" w:type="pct"/>
            <w:shd w:val="clear" w:color="auto" w:fill="auto"/>
          </w:tcPr>
          <w:p w14:paraId="00F19B45" w14:textId="77777777" w:rsidR="009A7ABC" w:rsidRPr="00170686" w:rsidRDefault="009A7ABC" w:rsidP="00B00276">
            <w:pPr>
              <w:rPr>
                <w:rFonts w:cs="Arial"/>
                <w:sz w:val="22"/>
                <w:szCs w:val="22"/>
                <w:lang w:val="en-MY" w:eastAsia="en-US"/>
              </w:rPr>
            </w:pPr>
            <w:bookmarkStart w:id="18" w:name="_Hlk143016295"/>
            <w:r w:rsidRPr="00170686">
              <w:rPr>
                <w:rFonts w:cs="Arial"/>
                <w:sz w:val="22"/>
                <w:szCs w:val="22"/>
                <w:lang w:val="en-MY" w:eastAsia="en-US"/>
              </w:rPr>
              <w:t>Translators’ Resistance</w:t>
            </w:r>
            <w:bookmarkEnd w:id="18"/>
          </w:p>
        </w:tc>
        <w:tc>
          <w:tcPr>
            <w:tcW w:w="1083" w:type="pct"/>
            <w:shd w:val="clear" w:color="auto" w:fill="auto"/>
          </w:tcPr>
          <w:p w14:paraId="4FDE578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1FD05EA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67C62A91" w14:textId="77777777" w:rsidTr="00364FC8">
        <w:trPr>
          <w:jc w:val="center"/>
        </w:trPr>
        <w:tc>
          <w:tcPr>
            <w:tcW w:w="318" w:type="pct"/>
            <w:shd w:val="clear" w:color="auto" w:fill="auto"/>
          </w:tcPr>
          <w:p w14:paraId="15B5EA0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22</w:t>
            </w:r>
          </w:p>
        </w:tc>
        <w:tc>
          <w:tcPr>
            <w:tcW w:w="2516" w:type="pct"/>
            <w:shd w:val="clear" w:color="auto" w:fill="auto"/>
          </w:tcPr>
          <w:p w14:paraId="7EE0E87C" w14:textId="77777777" w:rsidR="009A7ABC" w:rsidRPr="00170686" w:rsidRDefault="009A7ABC" w:rsidP="00B00276">
            <w:pPr>
              <w:rPr>
                <w:rFonts w:cs="Arial"/>
                <w:sz w:val="22"/>
                <w:szCs w:val="22"/>
                <w:lang w:val="en-MY" w:eastAsia="en-US"/>
              </w:rPr>
            </w:pPr>
            <w:bookmarkStart w:id="19" w:name="_Hlk87742932"/>
            <w:r w:rsidRPr="00170686">
              <w:rPr>
                <w:rFonts w:cs="Arial"/>
                <w:sz w:val="22"/>
                <w:szCs w:val="22"/>
                <w:lang w:val="en-MY" w:eastAsia="en-US"/>
              </w:rPr>
              <w:t>Translation Policy</w:t>
            </w:r>
            <w:bookmarkEnd w:id="19"/>
          </w:p>
        </w:tc>
        <w:tc>
          <w:tcPr>
            <w:tcW w:w="1083" w:type="pct"/>
            <w:shd w:val="clear" w:color="auto" w:fill="auto"/>
          </w:tcPr>
          <w:p w14:paraId="1543CF3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65722A1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1554C30A" w14:textId="77777777" w:rsidTr="00364FC8">
        <w:trPr>
          <w:trHeight w:val="195"/>
          <w:jc w:val="center"/>
        </w:trPr>
        <w:tc>
          <w:tcPr>
            <w:tcW w:w="318" w:type="pct"/>
            <w:shd w:val="clear" w:color="auto" w:fill="auto"/>
          </w:tcPr>
          <w:p w14:paraId="385BF7E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23</w:t>
            </w:r>
          </w:p>
        </w:tc>
        <w:tc>
          <w:tcPr>
            <w:tcW w:w="2516" w:type="pct"/>
            <w:shd w:val="clear" w:color="auto" w:fill="auto"/>
          </w:tcPr>
          <w:p w14:paraId="3B435DF2" w14:textId="77777777" w:rsidR="009A7ABC" w:rsidRPr="00170686" w:rsidRDefault="009A7ABC" w:rsidP="00B00276">
            <w:pPr>
              <w:rPr>
                <w:rFonts w:cs="Arial"/>
                <w:sz w:val="22"/>
                <w:szCs w:val="22"/>
                <w:lang w:val="en-MY" w:eastAsia="en-US"/>
              </w:rPr>
            </w:pPr>
            <w:bookmarkStart w:id="20" w:name="_Hlk143016350"/>
            <w:r w:rsidRPr="00170686">
              <w:rPr>
                <w:rFonts w:cs="Arial"/>
                <w:sz w:val="22"/>
                <w:szCs w:val="22"/>
                <w:lang w:val="en-MY" w:eastAsia="en-US"/>
              </w:rPr>
              <w:t>Translators’ Trajectories</w:t>
            </w:r>
            <w:bookmarkEnd w:id="20"/>
          </w:p>
        </w:tc>
        <w:tc>
          <w:tcPr>
            <w:tcW w:w="1083" w:type="pct"/>
            <w:shd w:val="clear" w:color="auto" w:fill="auto"/>
          </w:tcPr>
          <w:p w14:paraId="2277E9C1"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6D4F469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388F8688" w14:textId="77777777" w:rsidTr="00364FC8">
        <w:trPr>
          <w:jc w:val="center"/>
        </w:trPr>
        <w:tc>
          <w:tcPr>
            <w:tcW w:w="318" w:type="pct"/>
            <w:shd w:val="clear" w:color="auto" w:fill="auto"/>
          </w:tcPr>
          <w:p w14:paraId="6FCB0D8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24</w:t>
            </w:r>
          </w:p>
        </w:tc>
        <w:tc>
          <w:tcPr>
            <w:tcW w:w="2516" w:type="pct"/>
            <w:shd w:val="clear" w:color="auto" w:fill="auto"/>
          </w:tcPr>
          <w:p w14:paraId="5BD3DFE5" w14:textId="77777777" w:rsidR="009A7ABC" w:rsidRPr="00170686" w:rsidRDefault="009A7ABC" w:rsidP="00B00276">
            <w:pPr>
              <w:rPr>
                <w:rFonts w:cs="Arial"/>
                <w:sz w:val="22"/>
                <w:szCs w:val="22"/>
                <w:lang w:val="en-MY" w:eastAsia="en-US"/>
              </w:rPr>
            </w:pPr>
            <w:bookmarkStart w:id="21" w:name="_Hlk143016371"/>
            <w:r w:rsidRPr="00170686">
              <w:rPr>
                <w:rFonts w:cs="Arial"/>
                <w:sz w:val="22"/>
                <w:szCs w:val="22"/>
                <w:lang w:val="en-MY" w:eastAsia="en-US"/>
              </w:rPr>
              <w:t>Translators as Actors (Actants)</w:t>
            </w:r>
            <w:bookmarkEnd w:id="21"/>
          </w:p>
        </w:tc>
        <w:tc>
          <w:tcPr>
            <w:tcW w:w="1083" w:type="pct"/>
            <w:shd w:val="clear" w:color="auto" w:fill="auto"/>
          </w:tcPr>
          <w:p w14:paraId="6A412FD4"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61D4B77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723C0C1B" w14:textId="77777777" w:rsidTr="00364FC8">
        <w:trPr>
          <w:jc w:val="center"/>
        </w:trPr>
        <w:tc>
          <w:tcPr>
            <w:tcW w:w="318" w:type="pct"/>
            <w:shd w:val="clear" w:color="auto" w:fill="auto"/>
          </w:tcPr>
          <w:p w14:paraId="7528E69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25</w:t>
            </w:r>
          </w:p>
        </w:tc>
        <w:tc>
          <w:tcPr>
            <w:tcW w:w="2516" w:type="pct"/>
            <w:shd w:val="clear" w:color="auto" w:fill="auto"/>
          </w:tcPr>
          <w:p w14:paraId="3D244C16" w14:textId="77777777" w:rsidR="009A7ABC" w:rsidRPr="00170686" w:rsidRDefault="009A7ABC" w:rsidP="00B00276">
            <w:pPr>
              <w:rPr>
                <w:rFonts w:cs="Arial"/>
                <w:sz w:val="22"/>
                <w:szCs w:val="22"/>
                <w:lang w:val="en-MY" w:eastAsia="en-US"/>
              </w:rPr>
            </w:pPr>
            <w:bookmarkStart w:id="22" w:name="_Hlk87743007"/>
            <w:r w:rsidRPr="00170686">
              <w:rPr>
                <w:rFonts w:cs="Arial"/>
                <w:sz w:val="22"/>
                <w:szCs w:val="22"/>
                <w:lang w:val="en-MY" w:eastAsia="en-US"/>
              </w:rPr>
              <w:t>Patronage</w:t>
            </w:r>
            <w:bookmarkEnd w:id="22"/>
          </w:p>
        </w:tc>
        <w:tc>
          <w:tcPr>
            <w:tcW w:w="1083" w:type="pct"/>
            <w:shd w:val="clear" w:color="auto" w:fill="auto"/>
          </w:tcPr>
          <w:p w14:paraId="3487B83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55B3EA9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0D931877" w14:textId="77777777" w:rsidTr="00364FC8">
        <w:trPr>
          <w:jc w:val="center"/>
        </w:trPr>
        <w:tc>
          <w:tcPr>
            <w:tcW w:w="318" w:type="pct"/>
            <w:shd w:val="clear" w:color="auto" w:fill="auto"/>
          </w:tcPr>
          <w:p w14:paraId="04A952CF" w14:textId="77777777" w:rsidR="009A7ABC" w:rsidRPr="00170686" w:rsidRDefault="009A7ABC" w:rsidP="00170686">
            <w:pPr>
              <w:jc w:val="center"/>
              <w:rPr>
                <w:rFonts w:cs="Arial"/>
                <w:sz w:val="22"/>
                <w:szCs w:val="22"/>
                <w:lang w:val="en-MY" w:eastAsia="en-US"/>
              </w:rPr>
            </w:pPr>
            <w:bookmarkStart w:id="23" w:name="_Hlk87743033"/>
            <w:r w:rsidRPr="00170686">
              <w:rPr>
                <w:rFonts w:cs="Arial"/>
                <w:sz w:val="22"/>
                <w:szCs w:val="22"/>
                <w:lang w:val="en-MY" w:eastAsia="en-US"/>
              </w:rPr>
              <w:t>26</w:t>
            </w:r>
          </w:p>
        </w:tc>
        <w:tc>
          <w:tcPr>
            <w:tcW w:w="2516" w:type="pct"/>
            <w:shd w:val="clear" w:color="auto" w:fill="auto"/>
          </w:tcPr>
          <w:p w14:paraId="6EDA915C"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Translation and Modernization</w:t>
            </w:r>
          </w:p>
        </w:tc>
        <w:tc>
          <w:tcPr>
            <w:tcW w:w="1083" w:type="pct"/>
            <w:shd w:val="clear" w:color="auto" w:fill="auto"/>
          </w:tcPr>
          <w:p w14:paraId="52075F2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7FDAF26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bookmarkEnd w:id="23"/>
      <w:tr w:rsidR="009A7ABC" w:rsidRPr="00170686" w14:paraId="0F690AA6" w14:textId="77777777" w:rsidTr="00364FC8">
        <w:trPr>
          <w:jc w:val="center"/>
        </w:trPr>
        <w:tc>
          <w:tcPr>
            <w:tcW w:w="318" w:type="pct"/>
            <w:shd w:val="clear" w:color="auto" w:fill="auto"/>
          </w:tcPr>
          <w:p w14:paraId="5F1E513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27</w:t>
            </w:r>
          </w:p>
        </w:tc>
        <w:tc>
          <w:tcPr>
            <w:tcW w:w="2516" w:type="pct"/>
            <w:shd w:val="clear" w:color="auto" w:fill="auto"/>
          </w:tcPr>
          <w:p w14:paraId="291D94FA"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Translators’ Identity</w:t>
            </w:r>
          </w:p>
        </w:tc>
        <w:tc>
          <w:tcPr>
            <w:tcW w:w="1083" w:type="pct"/>
            <w:shd w:val="clear" w:color="auto" w:fill="auto"/>
          </w:tcPr>
          <w:p w14:paraId="6EE8FBE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7B15D3BE"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0A5AF505" w14:textId="77777777" w:rsidTr="00364FC8">
        <w:trPr>
          <w:jc w:val="center"/>
        </w:trPr>
        <w:tc>
          <w:tcPr>
            <w:tcW w:w="318" w:type="pct"/>
            <w:shd w:val="clear" w:color="auto" w:fill="auto"/>
          </w:tcPr>
          <w:p w14:paraId="4BCA481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28</w:t>
            </w:r>
          </w:p>
        </w:tc>
        <w:tc>
          <w:tcPr>
            <w:tcW w:w="2516" w:type="pct"/>
            <w:shd w:val="clear" w:color="auto" w:fill="auto"/>
          </w:tcPr>
          <w:p w14:paraId="2A3B6BC6" w14:textId="77777777" w:rsidR="009A7ABC" w:rsidRPr="00170686" w:rsidRDefault="009A7ABC" w:rsidP="00B00276">
            <w:pPr>
              <w:rPr>
                <w:rFonts w:cs="Arial"/>
                <w:sz w:val="22"/>
                <w:szCs w:val="22"/>
                <w:lang w:val="en-MY" w:eastAsia="en-US"/>
              </w:rPr>
            </w:pPr>
            <w:bookmarkStart w:id="24" w:name="_Hlk87742820"/>
            <w:r w:rsidRPr="00170686">
              <w:rPr>
                <w:rFonts w:cs="Arial"/>
                <w:sz w:val="22"/>
                <w:szCs w:val="22"/>
                <w:lang w:val="en-MY" w:eastAsia="en-US"/>
              </w:rPr>
              <w:t>Invisibility</w:t>
            </w:r>
            <w:r w:rsidRPr="00170686">
              <w:rPr>
                <w:rFonts w:ascii="Calibri" w:hAnsi="Calibri" w:cs="Arial"/>
                <w:lang w:val="en-MY" w:eastAsia="en-US"/>
              </w:rPr>
              <w:t xml:space="preserve"> </w:t>
            </w:r>
            <w:r w:rsidRPr="00170686">
              <w:rPr>
                <w:rFonts w:cs="Arial"/>
                <w:sz w:val="22"/>
                <w:szCs w:val="22"/>
                <w:lang w:val="en-MY" w:eastAsia="en-US"/>
              </w:rPr>
              <w:t>of Translators</w:t>
            </w:r>
            <w:bookmarkEnd w:id="24"/>
          </w:p>
        </w:tc>
        <w:tc>
          <w:tcPr>
            <w:tcW w:w="1083" w:type="pct"/>
            <w:shd w:val="clear" w:color="auto" w:fill="auto"/>
          </w:tcPr>
          <w:p w14:paraId="44A25C3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23B8F9F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1AE03B69" w14:textId="77777777" w:rsidTr="00364FC8">
        <w:trPr>
          <w:trHeight w:val="247"/>
          <w:jc w:val="center"/>
        </w:trPr>
        <w:tc>
          <w:tcPr>
            <w:tcW w:w="318" w:type="pct"/>
            <w:shd w:val="clear" w:color="auto" w:fill="auto"/>
          </w:tcPr>
          <w:p w14:paraId="5E76645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29</w:t>
            </w:r>
          </w:p>
        </w:tc>
        <w:tc>
          <w:tcPr>
            <w:tcW w:w="2516" w:type="pct"/>
            <w:shd w:val="clear" w:color="auto" w:fill="auto"/>
          </w:tcPr>
          <w:p w14:paraId="7EF3EE76" w14:textId="77777777" w:rsidR="009A7ABC" w:rsidRPr="00170686" w:rsidRDefault="009A7ABC" w:rsidP="00B00276">
            <w:pPr>
              <w:rPr>
                <w:rFonts w:cs="Arial"/>
                <w:sz w:val="22"/>
                <w:szCs w:val="22"/>
                <w:lang w:val="en-MY" w:eastAsia="en-US"/>
              </w:rPr>
            </w:pPr>
            <w:bookmarkStart w:id="25" w:name="_Hlk87742664"/>
            <w:r w:rsidRPr="00170686">
              <w:rPr>
                <w:rFonts w:cs="Arial"/>
                <w:sz w:val="22"/>
                <w:szCs w:val="22"/>
                <w:lang w:val="en-MY" w:eastAsia="en-US"/>
              </w:rPr>
              <w:t>Translators’ Income</w:t>
            </w:r>
            <w:bookmarkEnd w:id="25"/>
          </w:p>
        </w:tc>
        <w:tc>
          <w:tcPr>
            <w:tcW w:w="1083" w:type="pct"/>
            <w:shd w:val="clear" w:color="auto" w:fill="auto"/>
          </w:tcPr>
          <w:p w14:paraId="6F10200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58AA5DE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7FFFC6F0" w14:textId="77777777" w:rsidTr="00364FC8">
        <w:trPr>
          <w:trHeight w:val="230"/>
          <w:jc w:val="center"/>
        </w:trPr>
        <w:tc>
          <w:tcPr>
            <w:tcW w:w="318" w:type="pct"/>
            <w:shd w:val="clear" w:color="auto" w:fill="auto"/>
          </w:tcPr>
          <w:p w14:paraId="2753E73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30</w:t>
            </w:r>
          </w:p>
        </w:tc>
        <w:tc>
          <w:tcPr>
            <w:tcW w:w="2516" w:type="pct"/>
            <w:shd w:val="clear" w:color="auto" w:fill="auto"/>
          </w:tcPr>
          <w:p w14:paraId="58DADC8F" w14:textId="77777777" w:rsidR="009A7ABC" w:rsidRPr="00170686" w:rsidRDefault="009A7ABC" w:rsidP="00B00276">
            <w:pPr>
              <w:rPr>
                <w:rFonts w:cs="Arial"/>
                <w:sz w:val="22"/>
                <w:szCs w:val="22"/>
                <w:lang w:val="en-MY" w:eastAsia="en-US"/>
              </w:rPr>
            </w:pPr>
            <w:bookmarkStart w:id="26" w:name="_Hlk87743090"/>
            <w:r w:rsidRPr="00170686">
              <w:rPr>
                <w:rFonts w:cs="Arial"/>
                <w:sz w:val="22"/>
                <w:szCs w:val="22"/>
                <w:lang w:val="en-MY" w:eastAsia="en-US"/>
              </w:rPr>
              <w:t>Translation and Globalization</w:t>
            </w:r>
            <w:bookmarkEnd w:id="26"/>
          </w:p>
        </w:tc>
        <w:tc>
          <w:tcPr>
            <w:tcW w:w="1083" w:type="pct"/>
            <w:shd w:val="clear" w:color="auto" w:fill="auto"/>
          </w:tcPr>
          <w:p w14:paraId="5F4C4C2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0D11D40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3C5E9B43" w14:textId="77777777" w:rsidTr="00364FC8">
        <w:trPr>
          <w:trHeight w:val="250"/>
          <w:jc w:val="center"/>
        </w:trPr>
        <w:tc>
          <w:tcPr>
            <w:tcW w:w="318" w:type="pct"/>
            <w:shd w:val="clear" w:color="auto" w:fill="auto"/>
          </w:tcPr>
          <w:p w14:paraId="127FE07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31</w:t>
            </w:r>
          </w:p>
        </w:tc>
        <w:tc>
          <w:tcPr>
            <w:tcW w:w="2516" w:type="pct"/>
            <w:shd w:val="clear" w:color="auto" w:fill="auto"/>
          </w:tcPr>
          <w:p w14:paraId="4ED2479C"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Networks</w:t>
            </w:r>
          </w:p>
        </w:tc>
        <w:tc>
          <w:tcPr>
            <w:tcW w:w="1083" w:type="pct"/>
            <w:shd w:val="clear" w:color="auto" w:fill="auto"/>
          </w:tcPr>
          <w:p w14:paraId="74120F7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73E8930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79C9FF32" w14:textId="77777777" w:rsidTr="00364FC8">
        <w:trPr>
          <w:trHeight w:val="250"/>
          <w:jc w:val="center"/>
        </w:trPr>
        <w:tc>
          <w:tcPr>
            <w:tcW w:w="318" w:type="pct"/>
            <w:shd w:val="clear" w:color="auto" w:fill="auto"/>
          </w:tcPr>
          <w:p w14:paraId="14773A1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32</w:t>
            </w:r>
          </w:p>
        </w:tc>
        <w:tc>
          <w:tcPr>
            <w:tcW w:w="2516" w:type="pct"/>
            <w:shd w:val="clear" w:color="auto" w:fill="auto"/>
          </w:tcPr>
          <w:p w14:paraId="3CFBB17C"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Translators’ Gender</w:t>
            </w:r>
          </w:p>
        </w:tc>
        <w:tc>
          <w:tcPr>
            <w:tcW w:w="1083" w:type="pct"/>
            <w:shd w:val="clear" w:color="auto" w:fill="auto"/>
          </w:tcPr>
          <w:p w14:paraId="1ED4BFE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62D3FE2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2FCB7E06" w14:textId="77777777" w:rsidTr="00364FC8">
        <w:trPr>
          <w:trHeight w:val="210"/>
          <w:jc w:val="center"/>
        </w:trPr>
        <w:tc>
          <w:tcPr>
            <w:tcW w:w="318" w:type="pct"/>
            <w:shd w:val="clear" w:color="auto" w:fill="auto"/>
          </w:tcPr>
          <w:p w14:paraId="555029F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33</w:t>
            </w:r>
          </w:p>
        </w:tc>
        <w:tc>
          <w:tcPr>
            <w:tcW w:w="2516" w:type="pct"/>
            <w:shd w:val="clear" w:color="auto" w:fill="auto"/>
          </w:tcPr>
          <w:p w14:paraId="7F677618"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Social Construction of Technology</w:t>
            </w:r>
          </w:p>
        </w:tc>
        <w:tc>
          <w:tcPr>
            <w:tcW w:w="1083" w:type="pct"/>
            <w:shd w:val="clear" w:color="auto" w:fill="auto"/>
          </w:tcPr>
          <w:p w14:paraId="3F2A76D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5B1E2DA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10389627" w14:textId="77777777" w:rsidTr="00364FC8">
        <w:trPr>
          <w:trHeight w:val="192"/>
          <w:jc w:val="center"/>
        </w:trPr>
        <w:tc>
          <w:tcPr>
            <w:tcW w:w="318" w:type="pct"/>
            <w:shd w:val="clear" w:color="auto" w:fill="auto"/>
          </w:tcPr>
          <w:p w14:paraId="2CAE71C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34</w:t>
            </w:r>
          </w:p>
        </w:tc>
        <w:tc>
          <w:tcPr>
            <w:tcW w:w="2516" w:type="pct"/>
            <w:shd w:val="clear" w:color="auto" w:fill="auto"/>
          </w:tcPr>
          <w:p w14:paraId="3B502268"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World System of Translation</w:t>
            </w:r>
          </w:p>
        </w:tc>
        <w:tc>
          <w:tcPr>
            <w:tcW w:w="1083" w:type="pct"/>
            <w:shd w:val="clear" w:color="auto" w:fill="auto"/>
          </w:tcPr>
          <w:p w14:paraId="0C44C95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shd w:val="clear" w:color="auto" w:fill="auto"/>
          </w:tcPr>
          <w:p w14:paraId="45EC2AF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r w:rsidR="009A7ABC" w:rsidRPr="00170686" w14:paraId="300E14C2" w14:textId="77777777" w:rsidTr="00364FC8">
        <w:trPr>
          <w:trHeight w:val="250"/>
          <w:jc w:val="center"/>
        </w:trPr>
        <w:tc>
          <w:tcPr>
            <w:tcW w:w="318" w:type="pct"/>
            <w:tcBorders>
              <w:bottom w:val="single" w:sz="12" w:space="0" w:color="auto"/>
            </w:tcBorders>
            <w:shd w:val="clear" w:color="auto" w:fill="auto"/>
          </w:tcPr>
          <w:p w14:paraId="65E522E4"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35</w:t>
            </w:r>
          </w:p>
        </w:tc>
        <w:tc>
          <w:tcPr>
            <w:tcW w:w="2516" w:type="pct"/>
            <w:tcBorders>
              <w:bottom w:val="single" w:sz="12" w:space="0" w:color="auto"/>
            </w:tcBorders>
            <w:shd w:val="clear" w:color="auto" w:fill="auto"/>
          </w:tcPr>
          <w:p w14:paraId="22788508"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Translators’ Personality</w:t>
            </w:r>
          </w:p>
        </w:tc>
        <w:tc>
          <w:tcPr>
            <w:tcW w:w="1083" w:type="pct"/>
            <w:tcBorders>
              <w:bottom w:val="single" w:sz="12" w:space="0" w:color="auto"/>
            </w:tcBorders>
            <w:shd w:val="clear" w:color="auto" w:fill="auto"/>
          </w:tcPr>
          <w:p w14:paraId="0494559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1083" w:type="pct"/>
            <w:tcBorders>
              <w:bottom w:val="single" w:sz="12" w:space="0" w:color="auto"/>
            </w:tcBorders>
            <w:shd w:val="clear" w:color="auto" w:fill="auto"/>
          </w:tcPr>
          <w:p w14:paraId="49A3E828"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1.02</w:t>
            </w:r>
          </w:p>
        </w:tc>
      </w:tr>
    </w:tbl>
    <w:p w14:paraId="2BBF3BBF" w14:textId="16C17FE8" w:rsidR="00364FC8" w:rsidRDefault="00364FC8" w:rsidP="00990BE4">
      <w:pPr>
        <w:pStyle w:val="Podtitul"/>
        <w:keepNext/>
        <w:keepLines/>
        <w:ind w:firstLine="709"/>
        <w:jc w:val="both"/>
        <w:rPr>
          <w:b w:val="0"/>
          <w:bCs w:val="0"/>
          <w:lang w:val="en-GB"/>
        </w:rPr>
      </w:pPr>
      <w:r w:rsidRPr="009A7ABC">
        <w:rPr>
          <w:b w:val="0"/>
          <w:bCs w:val="0"/>
          <w:lang w:val="en-GB"/>
        </w:rPr>
        <w:lastRenderedPageBreak/>
        <w:t xml:space="preserve">The table shows 35 different areas (sub-branches) investigated by the postgraduate researchers. Some studies covered more than one area of </w:t>
      </w:r>
      <w:proofErr w:type="gramStart"/>
      <w:r w:rsidRPr="009A7ABC">
        <w:rPr>
          <w:b w:val="0"/>
          <w:bCs w:val="0"/>
          <w:lang w:val="en-GB"/>
        </w:rPr>
        <w:t>investigation</w:t>
      </w:r>
      <w:proofErr w:type="gramEnd"/>
      <w:r w:rsidRPr="009A7ABC">
        <w:rPr>
          <w:b w:val="0"/>
          <w:bCs w:val="0"/>
          <w:lang w:val="en-GB"/>
        </w:rPr>
        <w:t xml:space="preserve"> and some areas were investigated by more than one study. Hence, the percentage for each area was calculated based on the number of its frequency. As illustrated in Table 4, </w:t>
      </w:r>
      <w:r w:rsidRPr="00990BE4">
        <w:rPr>
          <w:b w:val="0"/>
          <w:bCs w:val="0"/>
          <w:i/>
          <w:iCs/>
          <w:lang w:val="en-GB"/>
        </w:rPr>
        <w:t>translators’ capital</w:t>
      </w:r>
      <w:r w:rsidRPr="009A7ABC">
        <w:rPr>
          <w:b w:val="0"/>
          <w:bCs w:val="0"/>
          <w:lang w:val="en-GB"/>
        </w:rPr>
        <w:t xml:space="preserve"> was the most frequently studied area among the Iranian postgraduate researchers, followed by </w:t>
      </w:r>
      <w:r w:rsidRPr="00990BE4">
        <w:rPr>
          <w:b w:val="0"/>
          <w:bCs w:val="0"/>
          <w:i/>
          <w:iCs/>
          <w:lang w:val="en-GB"/>
        </w:rPr>
        <w:t>translators</w:t>
      </w:r>
      <w:r w:rsidR="00990BE4">
        <w:rPr>
          <w:b w:val="0"/>
          <w:bCs w:val="0"/>
          <w:i/>
          <w:iCs/>
          <w:lang w:val="en-GB"/>
        </w:rPr>
        <w:t>’</w:t>
      </w:r>
      <w:r w:rsidRPr="009A7ABC">
        <w:rPr>
          <w:b w:val="0"/>
          <w:bCs w:val="0"/>
          <w:lang w:val="en-GB"/>
        </w:rPr>
        <w:t xml:space="preserve"> </w:t>
      </w:r>
      <w:r w:rsidRPr="00990BE4">
        <w:rPr>
          <w:b w:val="0"/>
          <w:bCs w:val="0"/>
          <w:i/>
          <w:iCs/>
          <w:lang w:val="en-GB"/>
        </w:rPr>
        <w:t>habitus</w:t>
      </w:r>
      <w:r w:rsidRPr="009A7ABC">
        <w:rPr>
          <w:b w:val="0"/>
          <w:bCs w:val="0"/>
          <w:lang w:val="en-GB"/>
        </w:rPr>
        <w:t xml:space="preserve">, </w:t>
      </w:r>
      <w:r w:rsidRPr="00990BE4">
        <w:rPr>
          <w:b w:val="0"/>
          <w:bCs w:val="0"/>
          <w:i/>
          <w:iCs/>
          <w:lang w:val="en-GB"/>
        </w:rPr>
        <w:t>agency</w:t>
      </w:r>
      <w:r w:rsidRPr="009A7ABC">
        <w:rPr>
          <w:b w:val="0"/>
          <w:bCs w:val="0"/>
          <w:lang w:val="en-GB"/>
        </w:rPr>
        <w:t xml:space="preserve">, and the </w:t>
      </w:r>
      <w:r w:rsidRPr="00990BE4">
        <w:rPr>
          <w:b w:val="0"/>
          <w:bCs w:val="0"/>
          <w:i/>
          <w:iCs/>
          <w:lang w:val="en-GB"/>
        </w:rPr>
        <w:t>translation profession</w:t>
      </w:r>
      <w:r w:rsidRPr="009A7ABC">
        <w:rPr>
          <w:b w:val="0"/>
          <w:bCs w:val="0"/>
          <w:lang w:val="en-GB"/>
        </w:rPr>
        <w:t xml:space="preserve">. Other frequently studied areas included </w:t>
      </w:r>
      <w:r w:rsidRPr="00990BE4">
        <w:rPr>
          <w:b w:val="0"/>
          <w:bCs w:val="0"/>
          <w:i/>
          <w:iCs/>
          <w:lang w:val="en-GB"/>
        </w:rPr>
        <w:t>role of translation in society</w:t>
      </w:r>
      <w:r w:rsidRPr="009A7ABC">
        <w:rPr>
          <w:b w:val="0"/>
          <w:bCs w:val="0"/>
          <w:lang w:val="en-GB"/>
        </w:rPr>
        <w:t xml:space="preserve">, and </w:t>
      </w:r>
      <w:r w:rsidRPr="00990BE4">
        <w:rPr>
          <w:b w:val="0"/>
          <w:bCs w:val="0"/>
          <w:i/>
          <w:iCs/>
          <w:lang w:val="en-GB"/>
        </w:rPr>
        <w:t>translators’ status</w:t>
      </w:r>
      <w:r w:rsidRPr="009A7ABC">
        <w:rPr>
          <w:b w:val="0"/>
          <w:bCs w:val="0"/>
          <w:lang w:val="en-GB"/>
        </w:rPr>
        <w:t>.</w:t>
      </w:r>
    </w:p>
    <w:p w14:paraId="273F223B" w14:textId="09FC3663" w:rsidR="009A7ABC" w:rsidRDefault="009A7ABC" w:rsidP="00364FC8">
      <w:pPr>
        <w:pStyle w:val="Podtitul"/>
        <w:keepNext/>
        <w:keepLines/>
        <w:ind w:firstLine="709"/>
        <w:jc w:val="both"/>
        <w:rPr>
          <w:b w:val="0"/>
          <w:bCs w:val="0"/>
          <w:lang w:val="en-GB"/>
        </w:rPr>
      </w:pPr>
      <w:r w:rsidRPr="009A7ABC">
        <w:rPr>
          <w:b w:val="0"/>
          <w:bCs w:val="0"/>
          <w:lang w:val="en-GB"/>
        </w:rPr>
        <w:t xml:space="preserve">Hence, the focus of the studies was on the translators (as translation agents), and that is a primary goal of the </w:t>
      </w:r>
      <w:proofErr w:type="spellStart"/>
      <w:r w:rsidRPr="009A7ABC">
        <w:rPr>
          <w:b w:val="0"/>
          <w:bCs w:val="0"/>
          <w:lang w:val="en-GB"/>
        </w:rPr>
        <w:t>S</w:t>
      </w:r>
      <w:r w:rsidR="003748BF">
        <w:rPr>
          <w:b w:val="0"/>
          <w:bCs w:val="0"/>
          <w:lang w:val="en-GB"/>
        </w:rPr>
        <w:t>o</w:t>
      </w:r>
      <w:r w:rsidRPr="009A7ABC">
        <w:rPr>
          <w:b w:val="0"/>
          <w:bCs w:val="0"/>
          <w:lang w:val="en-GB"/>
        </w:rPr>
        <w:t>T</w:t>
      </w:r>
      <w:proofErr w:type="spellEnd"/>
      <w:r w:rsidRPr="009A7ABC">
        <w:rPr>
          <w:b w:val="0"/>
          <w:bCs w:val="0"/>
          <w:lang w:val="en-GB"/>
        </w:rPr>
        <w:t xml:space="preserve">. Based on the information in Table 4, we proposed a tentative map of postgraduate research on the </w:t>
      </w:r>
      <w:proofErr w:type="spellStart"/>
      <w:r w:rsidRPr="009A7ABC">
        <w:rPr>
          <w:b w:val="0"/>
          <w:bCs w:val="0"/>
          <w:lang w:val="en-GB"/>
        </w:rPr>
        <w:t>S</w:t>
      </w:r>
      <w:r w:rsidR="003748BF">
        <w:rPr>
          <w:b w:val="0"/>
          <w:bCs w:val="0"/>
          <w:lang w:val="en-GB"/>
        </w:rPr>
        <w:t>o</w:t>
      </w:r>
      <w:r w:rsidRPr="009A7ABC">
        <w:rPr>
          <w:b w:val="0"/>
          <w:bCs w:val="0"/>
          <w:lang w:val="en-GB"/>
        </w:rPr>
        <w:t>T</w:t>
      </w:r>
      <w:proofErr w:type="spellEnd"/>
      <w:r w:rsidRPr="009A7ABC">
        <w:rPr>
          <w:b w:val="0"/>
          <w:bCs w:val="0"/>
          <w:lang w:val="en-GB"/>
        </w:rPr>
        <w:t xml:space="preserve"> in Iran (see the Appendix). The second research question asked about the translation theories and models that were adopted by the researchers. Again, the authors of the study carried out a qualitative content analysis of the abstract and methodology sections of the 48 studies and by using double-checks and peer verification, they were able to extract the following translation theories and models as shown in Table 5.</w:t>
      </w:r>
    </w:p>
    <w:p w14:paraId="72D68606" w14:textId="16307BF5" w:rsidR="009A7ABC" w:rsidRDefault="009A7ABC" w:rsidP="003D5412">
      <w:pPr>
        <w:pStyle w:val="Podtitul"/>
        <w:spacing w:before="160" w:after="120" w:line="360" w:lineRule="auto"/>
        <w:jc w:val="left"/>
        <w:rPr>
          <w:b w:val="0"/>
          <w:bCs w:val="0"/>
          <w:lang w:val="en-GB"/>
        </w:rPr>
      </w:pPr>
      <w:r w:rsidRPr="009A7ABC">
        <w:rPr>
          <w:b w:val="0"/>
          <w:bCs w:val="0"/>
          <w:lang w:val="en-GB"/>
        </w:rPr>
        <w:t>Table 5</w:t>
      </w:r>
      <w:r w:rsidR="006E50EF">
        <w:rPr>
          <w:b w:val="0"/>
          <w:bCs w:val="0"/>
          <w:lang w:val="en-GB"/>
        </w:rPr>
        <w:t>:</w:t>
      </w:r>
      <w:r w:rsidRPr="009A7ABC">
        <w:rPr>
          <w:b w:val="0"/>
          <w:bCs w:val="0"/>
          <w:lang w:val="en-GB"/>
        </w:rPr>
        <w:t xml:space="preserve"> Translation theories/models used by Iranian postgraduate researchers</w:t>
      </w:r>
    </w:p>
    <w:tbl>
      <w:tblPr>
        <w:tblW w:w="5000" w:type="pct"/>
        <w:jc w:val="center"/>
        <w:tblLook w:val="04A0" w:firstRow="1" w:lastRow="0" w:firstColumn="1" w:lastColumn="0" w:noHBand="0" w:noVBand="1"/>
      </w:tblPr>
      <w:tblGrid>
        <w:gridCol w:w="596"/>
        <w:gridCol w:w="4973"/>
        <w:gridCol w:w="1729"/>
        <w:gridCol w:w="1728"/>
      </w:tblGrid>
      <w:tr w:rsidR="009A7ABC" w:rsidRPr="00170686" w14:paraId="14052583" w14:textId="77777777" w:rsidTr="00714392">
        <w:trPr>
          <w:jc w:val="center"/>
        </w:trPr>
        <w:tc>
          <w:tcPr>
            <w:tcW w:w="330" w:type="pct"/>
            <w:tcBorders>
              <w:top w:val="single" w:sz="12" w:space="0" w:color="auto"/>
              <w:bottom w:val="single" w:sz="12" w:space="0" w:color="auto"/>
            </w:tcBorders>
            <w:shd w:val="clear" w:color="auto" w:fill="auto"/>
          </w:tcPr>
          <w:p w14:paraId="2AE08F1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No.</w:t>
            </w:r>
          </w:p>
        </w:tc>
        <w:tc>
          <w:tcPr>
            <w:tcW w:w="2755" w:type="pct"/>
            <w:tcBorders>
              <w:top w:val="single" w:sz="12" w:space="0" w:color="auto"/>
              <w:bottom w:val="single" w:sz="12" w:space="0" w:color="auto"/>
            </w:tcBorders>
            <w:shd w:val="clear" w:color="auto" w:fill="auto"/>
          </w:tcPr>
          <w:p w14:paraId="03DD2E7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Translation Theory/Model</w:t>
            </w:r>
          </w:p>
        </w:tc>
        <w:tc>
          <w:tcPr>
            <w:tcW w:w="958" w:type="pct"/>
            <w:tcBorders>
              <w:top w:val="single" w:sz="12" w:space="0" w:color="auto"/>
              <w:bottom w:val="single" w:sz="12" w:space="0" w:color="auto"/>
            </w:tcBorders>
            <w:shd w:val="clear" w:color="auto" w:fill="auto"/>
          </w:tcPr>
          <w:p w14:paraId="574C099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Frequency (N)</w:t>
            </w:r>
          </w:p>
        </w:tc>
        <w:tc>
          <w:tcPr>
            <w:tcW w:w="958" w:type="pct"/>
            <w:tcBorders>
              <w:top w:val="single" w:sz="12" w:space="0" w:color="auto"/>
              <w:bottom w:val="single" w:sz="12" w:space="0" w:color="auto"/>
            </w:tcBorders>
            <w:shd w:val="clear" w:color="auto" w:fill="auto"/>
          </w:tcPr>
          <w:p w14:paraId="1B18731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Percentage (%)</w:t>
            </w:r>
          </w:p>
        </w:tc>
      </w:tr>
      <w:tr w:rsidR="009A7ABC" w:rsidRPr="00170686" w14:paraId="7FA142C5" w14:textId="77777777" w:rsidTr="00714392">
        <w:trPr>
          <w:jc w:val="center"/>
        </w:trPr>
        <w:tc>
          <w:tcPr>
            <w:tcW w:w="330" w:type="pct"/>
            <w:tcBorders>
              <w:top w:val="single" w:sz="12" w:space="0" w:color="auto"/>
            </w:tcBorders>
            <w:shd w:val="clear" w:color="auto" w:fill="auto"/>
          </w:tcPr>
          <w:p w14:paraId="247CBD6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2755" w:type="pct"/>
            <w:tcBorders>
              <w:top w:val="single" w:sz="12" w:space="0" w:color="auto"/>
            </w:tcBorders>
            <w:shd w:val="clear" w:color="auto" w:fill="auto"/>
          </w:tcPr>
          <w:p w14:paraId="6079DAD9"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Bourdieu’s Theoretical Frameworks</w:t>
            </w:r>
          </w:p>
        </w:tc>
        <w:tc>
          <w:tcPr>
            <w:tcW w:w="958" w:type="pct"/>
            <w:tcBorders>
              <w:top w:val="single" w:sz="12" w:space="0" w:color="auto"/>
            </w:tcBorders>
            <w:shd w:val="clear" w:color="auto" w:fill="auto"/>
          </w:tcPr>
          <w:p w14:paraId="3DCDA1E8"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w:t>
            </w:r>
          </w:p>
        </w:tc>
        <w:tc>
          <w:tcPr>
            <w:tcW w:w="958" w:type="pct"/>
            <w:tcBorders>
              <w:top w:val="single" w:sz="12" w:space="0" w:color="auto"/>
            </w:tcBorders>
            <w:shd w:val="clear" w:color="auto" w:fill="auto"/>
          </w:tcPr>
          <w:p w14:paraId="14C90A6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36.54</w:t>
            </w:r>
          </w:p>
        </w:tc>
      </w:tr>
      <w:tr w:rsidR="009A7ABC" w:rsidRPr="00170686" w14:paraId="34201C3C" w14:textId="77777777" w:rsidTr="00714392">
        <w:trPr>
          <w:jc w:val="center"/>
        </w:trPr>
        <w:tc>
          <w:tcPr>
            <w:tcW w:w="330" w:type="pct"/>
            <w:shd w:val="clear" w:color="auto" w:fill="auto"/>
          </w:tcPr>
          <w:p w14:paraId="688B7D98"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w:t>
            </w:r>
          </w:p>
        </w:tc>
        <w:tc>
          <w:tcPr>
            <w:tcW w:w="2755" w:type="pct"/>
            <w:shd w:val="clear" w:color="auto" w:fill="auto"/>
          </w:tcPr>
          <w:p w14:paraId="4A5E1E23"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No Theory Mentioned</w:t>
            </w:r>
          </w:p>
        </w:tc>
        <w:tc>
          <w:tcPr>
            <w:tcW w:w="958" w:type="pct"/>
            <w:shd w:val="clear" w:color="auto" w:fill="auto"/>
          </w:tcPr>
          <w:p w14:paraId="17B7107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7</w:t>
            </w:r>
          </w:p>
        </w:tc>
        <w:tc>
          <w:tcPr>
            <w:tcW w:w="958" w:type="pct"/>
            <w:shd w:val="clear" w:color="auto" w:fill="auto"/>
          </w:tcPr>
          <w:p w14:paraId="64FF605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13.46</w:t>
            </w:r>
          </w:p>
        </w:tc>
      </w:tr>
      <w:tr w:rsidR="009A7ABC" w:rsidRPr="00170686" w14:paraId="5D2351AD" w14:textId="77777777" w:rsidTr="00714392">
        <w:trPr>
          <w:jc w:val="center"/>
        </w:trPr>
        <w:tc>
          <w:tcPr>
            <w:tcW w:w="330" w:type="pct"/>
            <w:shd w:val="clear" w:color="auto" w:fill="auto"/>
          </w:tcPr>
          <w:p w14:paraId="4EE804D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2755" w:type="pct"/>
            <w:shd w:val="clear" w:color="auto" w:fill="auto"/>
          </w:tcPr>
          <w:p w14:paraId="360E53D2"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Latour’s Actor-Network Theory (ANT)</w:t>
            </w:r>
          </w:p>
        </w:tc>
        <w:tc>
          <w:tcPr>
            <w:tcW w:w="958" w:type="pct"/>
            <w:shd w:val="clear" w:color="auto" w:fill="auto"/>
          </w:tcPr>
          <w:p w14:paraId="5EB25D1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958" w:type="pct"/>
            <w:shd w:val="clear" w:color="auto" w:fill="auto"/>
          </w:tcPr>
          <w:p w14:paraId="7BAAA90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5.77</w:t>
            </w:r>
          </w:p>
        </w:tc>
      </w:tr>
      <w:tr w:rsidR="009A7ABC" w:rsidRPr="00170686" w14:paraId="692F823D" w14:textId="77777777" w:rsidTr="00714392">
        <w:trPr>
          <w:jc w:val="center"/>
        </w:trPr>
        <w:tc>
          <w:tcPr>
            <w:tcW w:w="330" w:type="pct"/>
            <w:shd w:val="clear" w:color="auto" w:fill="auto"/>
          </w:tcPr>
          <w:p w14:paraId="2F01357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4</w:t>
            </w:r>
          </w:p>
        </w:tc>
        <w:tc>
          <w:tcPr>
            <w:tcW w:w="2755" w:type="pct"/>
            <w:shd w:val="clear" w:color="auto" w:fill="auto"/>
          </w:tcPr>
          <w:p w14:paraId="5C6DB581"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Chesterman’s Model</w:t>
            </w:r>
          </w:p>
        </w:tc>
        <w:tc>
          <w:tcPr>
            <w:tcW w:w="958" w:type="pct"/>
            <w:shd w:val="clear" w:color="auto" w:fill="auto"/>
          </w:tcPr>
          <w:p w14:paraId="77D8FF6F"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958" w:type="pct"/>
            <w:shd w:val="clear" w:color="auto" w:fill="auto"/>
          </w:tcPr>
          <w:p w14:paraId="5ACC42E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5.77</w:t>
            </w:r>
          </w:p>
        </w:tc>
      </w:tr>
      <w:tr w:rsidR="009A7ABC" w:rsidRPr="00170686" w14:paraId="61903D05" w14:textId="77777777" w:rsidTr="00714392">
        <w:trPr>
          <w:jc w:val="center"/>
        </w:trPr>
        <w:tc>
          <w:tcPr>
            <w:tcW w:w="330" w:type="pct"/>
            <w:shd w:val="clear" w:color="auto" w:fill="auto"/>
          </w:tcPr>
          <w:p w14:paraId="5EA454B2"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w:t>
            </w:r>
          </w:p>
        </w:tc>
        <w:tc>
          <w:tcPr>
            <w:tcW w:w="2755" w:type="pct"/>
            <w:shd w:val="clear" w:color="auto" w:fill="auto"/>
          </w:tcPr>
          <w:p w14:paraId="61521823" w14:textId="77777777" w:rsidR="009A7ABC" w:rsidRPr="00170686" w:rsidRDefault="009A7ABC" w:rsidP="00B00276">
            <w:pPr>
              <w:rPr>
                <w:rFonts w:cs="Arial"/>
                <w:sz w:val="22"/>
                <w:szCs w:val="22"/>
                <w:lang w:val="en-MY" w:eastAsia="en-US"/>
              </w:rPr>
            </w:pPr>
            <w:proofErr w:type="spellStart"/>
            <w:r w:rsidRPr="00170686">
              <w:rPr>
                <w:rFonts w:cs="Arial"/>
                <w:sz w:val="22"/>
                <w:szCs w:val="22"/>
                <w:lang w:val="en-MY" w:eastAsia="en-US"/>
              </w:rPr>
              <w:t>Paloposki’s</w:t>
            </w:r>
            <w:proofErr w:type="spellEnd"/>
            <w:r w:rsidRPr="00170686">
              <w:rPr>
                <w:rFonts w:cs="Arial"/>
                <w:sz w:val="22"/>
                <w:szCs w:val="22"/>
                <w:lang w:val="en-MY" w:eastAsia="en-US"/>
              </w:rPr>
              <w:t xml:space="preserve"> Model</w:t>
            </w:r>
          </w:p>
        </w:tc>
        <w:tc>
          <w:tcPr>
            <w:tcW w:w="958" w:type="pct"/>
            <w:shd w:val="clear" w:color="auto" w:fill="auto"/>
          </w:tcPr>
          <w:p w14:paraId="2574F10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w:t>
            </w:r>
          </w:p>
        </w:tc>
        <w:tc>
          <w:tcPr>
            <w:tcW w:w="958" w:type="pct"/>
            <w:shd w:val="clear" w:color="auto" w:fill="auto"/>
          </w:tcPr>
          <w:p w14:paraId="124E514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5.77</w:t>
            </w:r>
          </w:p>
        </w:tc>
      </w:tr>
      <w:tr w:rsidR="009A7ABC" w:rsidRPr="00170686" w14:paraId="736496C1" w14:textId="77777777" w:rsidTr="00714392">
        <w:trPr>
          <w:jc w:val="center"/>
        </w:trPr>
        <w:tc>
          <w:tcPr>
            <w:tcW w:w="330" w:type="pct"/>
            <w:shd w:val="clear" w:color="auto" w:fill="auto"/>
          </w:tcPr>
          <w:p w14:paraId="7581E62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6</w:t>
            </w:r>
          </w:p>
        </w:tc>
        <w:tc>
          <w:tcPr>
            <w:tcW w:w="2755" w:type="pct"/>
            <w:shd w:val="clear" w:color="auto" w:fill="auto"/>
          </w:tcPr>
          <w:p w14:paraId="1367FB68" w14:textId="77777777" w:rsidR="009A7ABC" w:rsidRPr="00170686" w:rsidRDefault="009A7ABC" w:rsidP="00B00276">
            <w:pPr>
              <w:rPr>
                <w:rFonts w:cs="Arial"/>
                <w:sz w:val="22"/>
                <w:szCs w:val="22"/>
                <w:lang w:val="en-MY" w:eastAsia="en-US"/>
              </w:rPr>
            </w:pPr>
            <w:proofErr w:type="spellStart"/>
            <w:r w:rsidRPr="00170686">
              <w:rPr>
                <w:rFonts w:cs="Arial"/>
                <w:sz w:val="22"/>
                <w:szCs w:val="22"/>
                <w:lang w:val="en-MY" w:eastAsia="en-US"/>
              </w:rPr>
              <w:t>Tymoczko’s</w:t>
            </w:r>
            <w:proofErr w:type="spellEnd"/>
            <w:r w:rsidRPr="00170686">
              <w:rPr>
                <w:rFonts w:cs="Arial"/>
                <w:sz w:val="22"/>
                <w:szCs w:val="22"/>
                <w:lang w:val="en-MY" w:eastAsia="en-US"/>
              </w:rPr>
              <w:t xml:space="preserve"> Model</w:t>
            </w:r>
          </w:p>
        </w:tc>
        <w:tc>
          <w:tcPr>
            <w:tcW w:w="958" w:type="pct"/>
            <w:shd w:val="clear" w:color="auto" w:fill="auto"/>
          </w:tcPr>
          <w:p w14:paraId="17247AF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w:t>
            </w:r>
          </w:p>
        </w:tc>
        <w:tc>
          <w:tcPr>
            <w:tcW w:w="958" w:type="pct"/>
            <w:shd w:val="clear" w:color="auto" w:fill="auto"/>
          </w:tcPr>
          <w:p w14:paraId="6D8DC8F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3.85</w:t>
            </w:r>
          </w:p>
        </w:tc>
      </w:tr>
      <w:tr w:rsidR="009A7ABC" w:rsidRPr="00170686" w14:paraId="3A752B63" w14:textId="77777777" w:rsidTr="00714392">
        <w:trPr>
          <w:jc w:val="center"/>
        </w:trPr>
        <w:tc>
          <w:tcPr>
            <w:tcW w:w="330" w:type="pct"/>
            <w:shd w:val="clear" w:color="auto" w:fill="auto"/>
          </w:tcPr>
          <w:p w14:paraId="74F86C4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7</w:t>
            </w:r>
          </w:p>
        </w:tc>
        <w:tc>
          <w:tcPr>
            <w:tcW w:w="2755" w:type="pct"/>
            <w:shd w:val="clear" w:color="auto" w:fill="auto"/>
          </w:tcPr>
          <w:p w14:paraId="795E33CF"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Venuti’s Model</w:t>
            </w:r>
          </w:p>
        </w:tc>
        <w:tc>
          <w:tcPr>
            <w:tcW w:w="958" w:type="pct"/>
            <w:shd w:val="clear" w:color="auto" w:fill="auto"/>
          </w:tcPr>
          <w:p w14:paraId="2DF6749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w:t>
            </w:r>
          </w:p>
        </w:tc>
        <w:tc>
          <w:tcPr>
            <w:tcW w:w="958" w:type="pct"/>
            <w:shd w:val="clear" w:color="auto" w:fill="auto"/>
          </w:tcPr>
          <w:p w14:paraId="62E3064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3.85</w:t>
            </w:r>
          </w:p>
        </w:tc>
      </w:tr>
      <w:tr w:rsidR="009A7ABC" w:rsidRPr="00170686" w14:paraId="24996D77" w14:textId="77777777" w:rsidTr="00714392">
        <w:trPr>
          <w:jc w:val="center"/>
        </w:trPr>
        <w:tc>
          <w:tcPr>
            <w:tcW w:w="330" w:type="pct"/>
            <w:shd w:val="clear" w:color="auto" w:fill="auto"/>
          </w:tcPr>
          <w:p w14:paraId="3C0E3B0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8</w:t>
            </w:r>
          </w:p>
        </w:tc>
        <w:tc>
          <w:tcPr>
            <w:tcW w:w="2755" w:type="pct"/>
            <w:shd w:val="clear" w:color="auto" w:fill="auto"/>
          </w:tcPr>
          <w:p w14:paraId="08FB28A7"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Needs Analysis Model</w:t>
            </w:r>
          </w:p>
        </w:tc>
        <w:tc>
          <w:tcPr>
            <w:tcW w:w="958" w:type="pct"/>
            <w:shd w:val="clear" w:color="auto" w:fill="auto"/>
          </w:tcPr>
          <w:p w14:paraId="26534F7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2</w:t>
            </w:r>
          </w:p>
        </w:tc>
        <w:tc>
          <w:tcPr>
            <w:tcW w:w="958" w:type="pct"/>
            <w:shd w:val="clear" w:color="auto" w:fill="auto"/>
          </w:tcPr>
          <w:p w14:paraId="651D001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3.85</w:t>
            </w:r>
          </w:p>
        </w:tc>
      </w:tr>
      <w:tr w:rsidR="009A7ABC" w:rsidRPr="00170686" w14:paraId="609441C0" w14:textId="77777777" w:rsidTr="00714392">
        <w:trPr>
          <w:jc w:val="center"/>
        </w:trPr>
        <w:tc>
          <w:tcPr>
            <w:tcW w:w="330" w:type="pct"/>
            <w:shd w:val="clear" w:color="auto" w:fill="auto"/>
          </w:tcPr>
          <w:p w14:paraId="2D09326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9</w:t>
            </w:r>
          </w:p>
        </w:tc>
        <w:tc>
          <w:tcPr>
            <w:tcW w:w="2755" w:type="pct"/>
            <w:shd w:val="clear" w:color="auto" w:fill="auto"/>
          </w:tcPr>
          <w:p w14:paraId="54DFF196"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Luhmann’s Social Systems Theory</w:t>
            </w:r>
          </w:p>
        </w:tc>
        <w:tc>
          <w:tcPr>
            <w:tcW w:w="958" w:type="pct"/>
            <w:shd w:val="clear" w:color="auto" w:fill="auto"/>
          </w:tcPr>
          <w:p w14:paraId="2E43E29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7D59295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68D9EEC1" w14:textId="77777777" w:rsidTr="00714392">
        <w:trPr>
          <w:jc w:val="center"/>
        </w:trPr>
        <w:tc>
          <w:tcPr>
            <w:tcW w:w="330" w:type="pct"/>
            <w:shd w:val="clear" w:color="auto" w:fill="auto"/>
          </w:tcPr>
          <w:p w14:paraId="32AB5DD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10</w:t>
            </w:r>
          </w:p>
        </w:tc>
        <w:tc>
          <w:tcPr>
            <w:tcW w:w="2755" w:type="pct"/>
            <w:shd w:val="clear" w:color="auto" w:fill="auto"/>
          </w:tcPr>
          <w:p w14:paraId="733C851B"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Ayyad and Pym’s Model</w:t>
            </w:r>
          </w:p>
        </w:tc>
        <w:tc>
          <w:tcPr>
            <w:tcW w:w="958" w:type="pct"/>
            <w:shd w:val="clear" w:color="auto" w:fill="auto"/>
          </w:tcPr>
          <w:p w14:paraId="73CB41E2"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57AB7CA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3728F84B" w14:textId="77777777" w:rsidTr="00714392">
        <w:trPr>
          <w:jc w:val="center"/>
        </w:trPr>
        <w:tc>
          <w:tcPr>
            <w:tcW w:w="330" w:type="pct"/>
            <w:shd w:val="clear" w:color="auto" w:fill="auto"/>
          </w:tcPr>
          <w:p w14:paraId="0BA9450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11</w:t>
            </w:r>
          </w:p>
        </w:tc>
        <w:tc>
          <w:tcPr>
            <w:tcW w:w="2755" w:type="pct"/>
            <w:shd w:val="clear" w:color="auto" w:fill="auto"/>
          </w:tcPr>
          <w:p w14:paraId="77C9A1A9"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Sela-Sheffy’s Model</w:t>
            </w:r>
          </w:p>
        </w:tc>
        <w:tc>
          <w:tcPr>
            <w:tcW w:w="958" w:type="pct"/>
            <w:shd w:val="clear" w:color="auto" w:fill="auto"/>
          </w:tcPr>
          <w:p w14:paraId="0D4BD03A"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307FF00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22E2A0A7" w14:textId="77777777" w:rsidTr="00714392">
        <w:trPr>
          <w:jc w:val="center"/>
        </w:trPr>
        <w:tc>
          <w:tcPr>
            <w:tcW w:w="330" w:type="pct"/>
            <w:shd w:val="clear" w:color="auto" w:fill="auto"/>
          </w:tcPr>
          <w:p w14:paraId="39CA195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12</w:t>
            </w:r>
          </w:p>
        </w:tc>
        <w:tc>
          <w:tcPr>
            <w:tcW w:w="2755" w:type="pct"/>
            <w:shd w:val="clear" w:color="auto" w:fill="auto"/>
          </w:tcPr>
          <w:p w14:paraId="193B962C"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Habermas’ Theory of Communicative Rationality</w:t>
            </w:r>
          </w:p>
        </w:tc>
        <w:tc>
          <w:tcPr>
            <w:tcW w:w="958" w:type="pct"/>
            <w:shd w:val="clear" w:color="auto" w:fill="auto"/>
          </w:tcPr>
          <w:p w14:paraId="1DFCCED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06987C3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7D872A70" w14:textId="77777777" w:rsidTr="00714392">
        <w:trPr>
          <w:jc w:val="center"/>
        </w:trPr>
        <w:tc>
          <w:tcPr>
            <w:tcW w:w="330" w:type="pct"/>
            <w:shd w:val="clear" w:color="auto" w:fill="auto"/>
          </w:tcPr>
          <w:p w14:paraId="6B39E98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13</w:t>
            </w:r>
          </w:p>
        </w:tc>
        <w:tc>
          <w:tcPr>
            <w:tcW w:w="2755" w:type="pct"/>
            <w:shd w:val="clear" w:color="auto" w:fill="auto"/>
          </w:tcPr>
          <w:p w14:paraId="27BFD49A" w14:textId="77777777" w:rsidR="009A7ABC" w:rsidRPr="00170686" w:rsidRDefault="009A7ABC" w:rsidP="00B00276">
            <w:pPr>
              <w:rPr>
                <w:rFonts w:cs="Arial"/>
                <w:sz w:val="22"/>
                <w:szCs w:val="22"/>
                <w:lang w:val="en-MY" w:eastAsia="en-US"/>
              </w:rPr>
            </w:pPr>
            <w:proofErr w:type="spellStart"/>
            <w:r w:rsidRPr="00170686">
              <w:rPr>
                <w:rFonts w:cs="Arial"/>
                <w:sz w:val="22"/>
                <w:szCs w:val="22"/>
                <w:lang w:val="en-MY" w:eastAsia="en-US"/>
              </w:rPr>
              <w:t>Bolouri’s</w:t>
            </w:r>
            <w:proofErr w:type="spellEnd"/>
            <w:r w:rsidRPr="00170686">
              <w:rPr>
                <w:rFonts w:cs="Arial"/>
                <w:sz w:val="22"/>
                <w:szCs w:val="22"/>
                <w:lang w:val="en-MY" w:eastAsia="en-US"/>
              </w:rPr>
              <w:t xml:space="preserve"> Model</w:t>
            </w:r>
          </w:p>
        </w:tc>
        <w:tc>
          <w:tcPr>
            <w:tcW w:w="958" w:type="pct"/>
            <w:shd w:val="clear" w:color="auto" w:fill="auto"/>
          </w:tcPr>
          <w:p w14:paraId="054BF09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4D597FC3"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1D4D3B20" w14:textId="77777777" w:rsidTr="00714392">
        <w:trPr>
          <w:jc w:val="center"/>
        </w:trPr>
        <w:tc>
          <w:tcPr>
            <w:tcW w:w="330" w:type="pct"/>
            <w:shd w:val="clear" w:color="auto" w:fill="auto"/>
          </w:tcPr>
          <w:p w14:paraId="4573F948"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14</w:t>
            </w:r>
          </w:p>
        </w:tc>
        <w:tc>
          <w:tcPr>
            <w:tcW w:w="2755" w:type="pct"/>
            <w:shd w:val="clear" w:color="auto" w:fill="auto"/>
          </w:tcPr>
          <w:p w14:paraId="0D2F1CE5"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 xml:space="preserve">Dam and </w:t>
            </w:r>
            <w:proofErr w:type="spellStart"/>
            <w:r w:rsidRPr="00170686">
              <w:rPr>
                <w:rFonts w:cs="Arial"/>
                <w:sz w:val="22"/>
                <w:szCs w:val="22"/>
                <w:lang w:val="en-MY" w:eastAsia="en-US"/>
              </w:rPr>
              <w:t>Zethsen’s</w:t>
            </w:r>
            <w:proofErr w:type="spellEnd"/>
            <w:r w:rsidRPr="00170686">
              <w:rPr>
                <w:rFonts w:cs="Arial"/>
                <w:sz w:val="22"/>
                <w:szCs w:val="22"/>
                <w:lang w:val="en-MY" w:eastAsia="en-US"/>
              </w:rPr>
              <w:t xml:space="preserve"> Model</w:t>
            </w:r>
          </w:p>
        </w:tc>
        <w:tc>
          <w:tcPr>
            <w:tcW w:w="958" w:type="pct"/>
            <w:shd w:val="clear" w:color="auto" w:fill="auto"/>
          </w:tcPr>
          <w:p w14:paraId="6374399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7CD1F26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7A465247" w14:textId="77777777" w:rsidTr="00714392">
        <w:trPr>
          <w:trHeight w:val="237"/>
          <w:jc w:val="center"/>
        </w:trPr>
        <w:tc>
          <w:tcPr>
            <w:tcW w:w="330" w:type="pct"/>
            <w:shd w:val="clear" w:color="auto" w:fill="auto"/>
          </w:tcPr>
          <w:p w14:paraId="36E20F12"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15</w:t>
            </w:r>
          </w:p>
        </w:tc>
        <w:tc>
          <w:tcPr>
            <w:tcW w:w="2755" w:type="pct"/>
            <w:shd w:val="clear" w:color="auto" w:fill="auto"/>
          </w:tcPr>
          <w:p w14:paraId="1968F437"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Lefever’s Space Theory</w:t>
            </w:r>
          </w:p>
        </w:tc>
        <w:tc>
          <w:tcPr>
            <w:tcW w:w="958" w:type="pct"/>
            <w:shd w:val="clear" w:color="auto" w:fill="auto"/>
          </w:tcPr>
          <w:p w14:paraId="6A6DB12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0D330B54"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4F1382D9" w14:textId="77777777" w:rsidTr="00714392">
        <w:trPr>
          <w:trHeight w:val="190"/>
          <w:jc w:val="center"/>
        </w:trPr>
        <w:tc>
          <w:tcPr>
            <w:tcW w:w="330" w:type="pct"/>
            <w:shd w:val="clear" w:color="auto" w:fill="auto"/>
          </w:tcPr>
          <w:p w14:paraId="76CF79E8"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16</w:t>
            </w:r>
          </w:p>
        </w:tc>
        <w:tc>
          <w:tcPr>
            <w:tcW w:w="2755" w:type="pct"/>
            <w:shd w:val="clear" w:color="auto" w:fill="auto"/>
          </w:tcPr>
          <w:p w14:paraId="1084ACE6"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 xml:space="preserve">Deleuze and </w:t>
            </w:r>
            <w:proofErr w:type="spellStart"/>
            <w:r w:rsidRPr="00170686">
              <w:rPr>
                <w:rFonts w:cs="Arial"/>
                <w:sz w:val="22"/>
                <w:szCs w:val="22"/>
                <w:lang w:val="en-MY" w:eastAsia="en-US"/>
              </w:rPr>
              <w:t>Guattari’s</w:t>
            </w:r>
            <w:proofErr w:type="spellEnd"/>
            <w:r w:rsidRPr="00170686">
              <w:rPr>
                <w:rFonts w:cs="Arial"/>
                <w:sz w:val="22"/>
                <w:szCs w:val="22"/>
                <w:lang w:val="en-MY" w:eastAsia="en-US"/>
              </w:rPr>
              <w:t xml:space="preserve"> Space-Related Theory</w:t>
            </w:r>
          </w:p>
        </w:tc>
        <w:tc>
          <w:tcPr>
            <w:tcW w:w="958" w:type="pct"/>
            <w:shd w:val="clear" w:color="auto" w:fill="auto"/>
          </w:tcPr>
          <w:p w14:paraId="4CE9B18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3C4C1D7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1C38EA4D" w14:textId="77777777" w:rsidTr="00714392">
        <w:trPr>
          <w:trHeight w:val="240"/>
          <w:jc w:val="center"/>
        </w:trPr>
        <w:tc>
          <w:tcPr>
            <w:tcW w:w="330" w:type="pct"/>
            <w:shd w:val="clear" w:color="auto" w:fill="auto"/>
          </w:tcPr>
          <w:p w14:paraId="3A8F9B25"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17</w:t>
            </w:r>
          </w:p>
        </w:tc>
        <w:tc>
          <w:tcPr>
            <w:tcW w:w="2755" w:type="pct"/>
            <w:shd w:val="clear" w:color="auto" w:fill="auto"/>
          </w:tcPr>
          <w:p w14:paraId="323FABE4"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Heilbron’s Theory</w:t>
            </w:r>
          </w:p>
        </w:tc>
        <w:tc>
          <w:tcPr>
            <w:tcW w:w="958" w:type="pct"/>
            <w:shd w:val="clear" w:color="auto" w:fill="auto"/>
          </w:tcPr>
          <w:p w14:paraId="4FB20E50"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7CDBEDA6"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049B5C5A" w14:textId="77777777" w:rsidTr="00714392">
        <w:trPr>
          <w:trHeight w:val="200"/>
          <w:jc w:val="center"/>
        </w:trPr>
        <w:tc>
          <w:tcPr>
            <w:tcW w:w="330" w:type="pct"/>
            <w:shd w:val="clear" w:color="auto" w:fill="auto"/>
          </w:tcPr>
          <w:p w14:paraId="4E813C27"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18</w:t>
            </w:r>
          </w:p>
        </w:tc>
        <w:tc>
          <w:tcPr>
            <w:tcW w:w="2755" w:type="pct"/>
            <w:shd w:val="clear" w:color="auto" w:fill="auto"/>
          </w:tcPr>
          <w:p w14:paraId="4EED7624"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Pieta’s Model</w:t>
            </w:r>
          </w:p>
        </w:tc>
        <w:tc>
          <w:tcPr>
            <w:tcW w:w="958" w:type="pct"/>
            <w:shd w:val="clear" w:color="auto" w:fill="auto"/>
          </w:tcPr>
          <w:p w14:paraId="06DA11FB"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shd w:val="clear" w:color="auto" w:fill="auto"/>
          </w:tcPr>
          <w:p w14:paraId="76F087EC"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r w:rsidR="009A7ABC" w:rsidRPr="00170686" w14:paraId="08F14A48" w14:textId="77777777" w:rsidTr="00714392">
        <w:trPr>
          <w:trHeight w:val="240"/>
          <w:jc w:val="center"/>
        </w:trPr>
        <w:tc>
          <w:tcPr>
            <w:tcW w:w="330" w:type="pct"/>
            <w:tcBorders>
              <w:bottom w:val="single" w:sz="12" w:space="0" w:color="auto"/>
            </w:tcBorders>
            <w:shd w:val="clear" w:color="auto" w:fill="auto"/>
          </w:tcPr>
          <w:p w14:paraId="5732A6A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w:t>
            </w:r>
          </w:p>
        </w:tc>
        <w:tc>
          <w:tcPr>
            <w:tcW w:w="2755" w:type="pct"/>
            <w:tcBorders>
              <w:bottom w:val="single" w:sz="12" w:space="0" w:color="auto"/>
            </w:tcBorders>
            <w:shd w:val="clear" w:color="auto" w:fill="auto"/>
          </w:tcPr>
          <w:p w14:paraId="4D30838D" w14:textId="77777777" w:rsidR="009A7ABC" w:rsidRPr="00170686" w:rsidRDefault="009A7ABC" w:rsidP="00B00276">
            <w:pPr>
              <w:rPr>
                <w:rFonts w:cs="Arial"/>
                <w:sz w:val="22"/>
                <w:szCs w:val="22"/>
                <w:lang w:val="en-MY" w:eastAsia="en-US"/>
              </w:rPr>
            </w:pPr>
            <w:r w:rsidRPr="00170686">
              <w:rPr>
                <w:rFonts w:cs="Arial"/>
                <w:sz w:val="22"/>
                <w:szCs w:val="22"/>
                <w:lang w:val="en-MY" w:eastAsia="en-US"/>
              </w:rPr>
              <w:t>Liang’s Model</w:t>
            </w:r>
          </w:p>
        </w:tc>
        <w:tc>
          <w:tcPr>
            <w:tcW w:w="958" w:type="pct"/>
            <w:tcBorders>
              <w:bottom w:val="single" w:sz="12" w:space="0" w:color="auto"/>
            </w:tcBorders>
            <w:shd w:val="clear" w:color="auto" w:fill="auto"/>
          </w:tcPr>
          <w:p w14:paraId="5933901D"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w:t>
            </w:r>
          </w:p>
        </w:tc>
        <w:tc>
          <w:tcPr>
            <w:tcW w:w="958" w:type="pct"/>
            <w:tcBorders>
              <w:bottom w:val="single" w:sz="12" w:space="0" w:color="auto"/>
            </w:tcBorders>
            <w:shd w:val="clear" w:color="auto" w:fill="auto"/>
          </w:tcPr>
          <w:p w14:paraId="2A2C84D9" w14:textId="77777777" w:rsidR="009A7ABC" w:rsidRPr="00170686" w:rsidRDefault="009A7ABC" w:rsidP="00170686">
            <w:pPr>
              <w:jc w:val="center"/>
              <w:rPr>
                <w:rFonts w:cs="Arial"/>
                <w:sz w:val="22"/>
                <w:szCs w:val="22"/>
                <w:lang w:val="en-MY" w:eastAsia="en-US"/>
              </w:rPr>
            </w:pPr>
            <w:r w:rsidRPr="00170686">
              <w:rPr>
                <w:rFonts w:cs="Arial"/>
                <w:sz w:val="22"/>
                <w:szCs w:val="22"/>
                <w:lang w:val="en-MY" w:eastAsia="en-US"/>
              </w:rPr>
              <w:t>1.92</w:t>
            </w:r>
          </w:p>
        </w:tc>
      </w:tr>
    </w:tbl>
    <w:p w14:paraId="50DD1E2A" w14:textId="62A4AE35" w:rsidR="009A7ABC" w:rsidRDefault="00AF435A" w:rsidP="003D5412">
      <w:pPr>
        <w:pStyle w:val="Podtitul"/>
        <w:spacing w:before="240"/>
        <w:ind w:firstLine="709"/>
        <w:jc w:val="both"/>
        <w:rPr>
          <w:b w:val="0"/>
          <w:bCs w:val="0"/>
          <w:lang w:val="en-GB"/>
        </w:rPr>
      </w:pPr>
      <w:r w:rsidRPr="00AF435A">
        <w:rPr>
          <w:b w:val="0"/>
          <w:bCs w:val="0"/>
          <w:lang w:val="en-GB"/>
        </w:rPr>
        <w:t xml:space="preserve">Table 5 indicates that </w:t>
      </w:r>
      <w:proofErr w:type="spellStart"/>
      <w:r w:rsidRPr="00645B1B">
        <w:rPr>
          <w:b w:val="0"/>
          <w:bCs w:val="0"/>
          <w:i/>
          <w:iCs/>
          <w:lang w:val="en-GB"/>
        </w:rPr>
        <w:t>Bourdieusian</w:t>
      </w:r>
      <w:proofErr w:type="spellEnd"/>
      <w:r w:rsidRPr="00645B1B">
        <w:rPr>
          <w:b w:val="0"/>
          <w:bCs w:val="0"/>
          <w:i/>
          <w:iCs/>
          <w:lang w:val="en-GB"/>
        </w:rPr>
        <w:t xml:space="preserve"> theoretical frameworks</w:t>
      </w:r>
      <w:r w:rsidRPr="00AF435A">
        <w:rPr>
          <w:b w:val="0"/>
          <w:bCs w:val="0"/>
          <w:lang w:val="en-GB"/>
        </w:rPr>
        <w:t xml:space="preserve"> was the most common theory used by the researchers (in 19 studies, more than a third of all investigations), followed by </w:t>
      </w:r>
      <w:r w:rsidRPr="00645B1B">
        <w:rPr>
          <w:b w:val="0"/>
          <w:bCs w:val="0"/>
          <w:i/>
          <w:iCs/>
          <w:lang w:val="en-GB"/>
        </w:rPr>
        <w:t>No Theory Mentioned</w:t>
      </w:r>
      <w:r w:rsidRPr="00AF435A">
        <w:rPr>
          <w:b w:val="0"/>
          <w:bCs w:val="0"/>
          <w:lang w:val="en-GB"/>
        </w:rPr>
        <w:t xml:space="preserve"> (7 studies), </w:t>
      </w:r>
      <w:r w:rsidRPr="00645B1B">
        <w:rPr>
          <w:b w:val="0"/>
          <w:bCs w:val="0"/>
          <w:i/>
          <w:iCs/>
          <w:lang w:val="en-GB"/>
        </w:rPr>
        <w:t>Latour’s Actor-Network Theory</w:t>
      </w:r>
      <w:r w:rsidRPr="00AF435A">
        <w:rPr>
          <w:b w:val="0"/>
          <w:bCs w:val="0"/>
          <w:lang w:val="en-GB"/>
        </w:rPr>
        <w:t xml:space="preserve"> (3 studies), </w:t>
      </w:r>
      <w:r w:rsidRPr="00645B1B">
        <w:rPr>
          <w:b w:val="0"/>
          <w:bCs w:val="0"/>
          <w:i/>
          <w:iCs/>
          <w:lang w:val="en-GB"/>
        </w:rPr>
        <w:t>Chesterman’s Model</w:t>
      </w:r>
      <w:r w:rsidRPr="00AF435A">
        <w:rPr>
          <w:b w:val="0"/>
          <w:bCs w:val="0"/>
          <w:lang w:val="en-GB"/>
        </w:rPr>
        <w:t xml:space="preserve"> (3 studies), and </w:t>
      </w:r>
      <w:proofErr w:type="spellStart"/>
      <w:r w:rsidRPr="00645B1B">
        <w:rPr>
          <w:b w:val="0"/>
          <w:bCs w:val="0"/>
          <w:i/>
          <w:iCs/>
          <w:lang w:val="en-GB"/>
        </w:rPr>
        <w:t>Paloposki’s</w:t>
      </w:r>
      <w:proofErr w:type="spellEnd"/>
      <w:r w:rsidRPr="00645B1B">
        <w:rPr>
          <w:b w:val="0"/>
          <w:bCs w:val="0"/>
          <w:i/>
          <w:iCs/>
          <w:lang w:val="en-GB"/>
        </w:rPr>
        <w:t xml:space="preserve"> Model</w:t>
      </w:r>
      <w:r w:rsidRPr="00AF435A">
        <w:rPr>
          <w:b w:val="0"/>
          <w:bCs w:val="0"/>
          <w:lang w:val="en-GB"/>
        </w:rPr>
        <w:t xml:space="preserve"> (3 studies). These major translation theories and models accounted for more than two thirds (73</w:t>
      </w:r>
      <w:r w:rsidR="00D13887">
        <w:rPr>
          <w:b w:val="0"/>
          <w:bCs w:val="0"/>
          <w:lang w:val="en-GB"/>
        </w:rPr>
        <w:t>%</w:t>
      </w:r>
      <w:r w:rsidRPr="00AF435A">
        <w:rPr>
          <w:b w:val="0"/>
          <w:bCs w:val="0"/>
          <w:lang w:val="en-GB"/>
        </w:rPr>
        <w:t>) of all postgraduate studies. It is worthy to mention that in some studies more than one theoretical framework was used. Hence, some researchers approached the problem under investigation from different perspectives.</w:t>
      </w:r>
    </w:p>
    <w:p w14:paraId="18E0E764" w14:textId="77777777" w:rsidR="005E1CF5" w:rsidRDefault="005E1CF5" w:rsidP="005E1CF5">
      <w:pPr>
        <w:pStyle w:val="Podtitul"/>
        <w:spacing w:before="240"/>
        <w:ind w:firstLine="709"/>
        <w:contextualSpacing/>
        <w:jc w:val="both"/>
        <w:rPr>
          <w:b w:val="0"/>
          <w:bCs w:val="0"/>
          <w:lang w:val="en-GB"/>
        </w:rPr>
      </w:pPr>
      <w:r w:rsidRPr="00AF435A">
        <w:rPr>
          <w:b w:val="0"/>
          <w:bCs w:val="0"/>
          <w:lang w:val="en-GB"/>
        </w:rPr>
        <w:t xml:space="preserve">The third research question investigated the types of research methodologies and methods that were used in the studies. The authors of the present study used Saldanha </w:t>
      </w:r>
      <w:r>
        <w:rPr>
          <w:b w:val="0"/>
          <w:bCs w:val="0"/>
          <w:lang w:val="en-GB"/>
        </w:rPr>
        <w:t>&amp;</w:t>
      </w:r>
      <w:r w:rsidRPr="00AF435A">
        <w:rPr>
          <w:b w:val="0"/>
          <w:bCs w:val="0"/>
          <w:lang w:val="en-GB"/>
        </w:rPr>
        <w:t xml:space="preserve"> O’Brien’s (2014) work as a reference for determining the typology of research methodologies </w:t>
      </w:r>
      <w:r w:rsidRPr="00AF435A">
        <w:rPr>
          <w:b w:val="0"/>
          <w:bCs w:val="0"/>
          <w:lang w:val="en-GB"/>
        </w:rPr>
        <w:lastRenderedPageBreak/>
        <w:t xml:space="preserve">and methods. </w:t>
      </w:r>
      <w:r w:rsidRPr="00164A57">
        <w:rPr>
          <w:b w:val="0"/>
          <w:bCs w:val="0"/>
          <w:lang w:val="en-GB"/>
        </w:rPr>
        <w:t xml:space="preserve">Tables 6 and 7 respectively portray different typologies of the research methodologies and methods used by Iranian postgraduate researchers interested in the </w:t>
      </w:r>
      <w:proofErr w:type="spellStart"/>
      <w:r w:rsidRPr="00164A57">
        <w:rPr>
          <w:b w:val="0"/>
          <w:bCs w:val="0"/>
          <w:lang w:val="en-GB"/>
        </w:rPr>
        <w:t>S</w:t>
      </w:r>
      <w:r>
        <w:rPr>
          <w:b w:val="0"/>
          <w:bCs w:val="0"/>
          <w:lang w:val="en-GB"/>
        </w:rPr>
        <w:t>o</w:t>
      </w:r>
      <w:r w:rsidRPr="00164A57">
        <w:rPr>
          <w:b w:val="0"/>
          <w:bCs w:val="0"/>
          <w:lang w:val="en-GB"/>
        </w:rPr>
        <w:t>T</w:t>
      </w:r>
      <w:proofErr w:type="spellEnd"/>
      <w:r w:rsidRPr="00164A57">
        <w:rPr>
          <w:b w:val="0"/>
          <w:bCs w:val="0"/>
          <w:lang w:val="en-GB"/>
        </w:rPr>
        <w:t>.</w:t>
      </w:r>
    </w:p>
    <w:p w14:paraId="0719B22F" w14:textId="62EA1739" w:rsidR="005E1CF5" w:rsidRDefault="005E1CF5" w:rsidP="005E1CF5">
      <w:pPr>
        <w:pStyle w:val="Podtitul"/>
        <w:ind w:firstLine="708"/>
        <w:jc w:val="both"/>
        <w:rPr>
          <w:b w:val="0"/>
          <w:bCs w:val="0"/>
          <w:lang w:val="en-GB"/>
        </w:rPr>
      </w:pPr>
      <w:r w:rsidRPr="00AF435A">
        <w:rPr>
          <w:b w:val="0"/>
          <w:bCs w:val="0"/>
          <w:lang w:val="en-GB"/>
        </w:rPr>
        <w:t xml:space="preserve">Table 6 illustrates the four research methodologies proposed by </w:t>
      </w:r>
      <w:r w:rsidRPr="00645B1B">
        <w:rPr>
          <w:b w:val="0"/>
          <w:bCs w:val="0"/>
          <w:lang w:val="en-GB"/>
        </w:rPr>
        <w:t>Saldanha &amp; O’Brien (2014)</w:t>
      </w:r>
      <w:r w:rsidRPr="00AF435A">
        <w:rPr>
          <w:b w:val="0"/>
          <w:bCs w:val="0"/>
          <w:lang w:val="en-GB"/>
        </w:rPr>
        <w:t xml:space="preserve">. It shows that context-oriented research comprised almost half of all studies conducted in the field of the </w:t>
      </w:r>
      <w:proofErr w:type="spellStart"/>
      <w:r w:rsidRPr="00AF435A">
        <w:rPr>
          <w:b w:val="0"/>
          <w:bCs w:val="0"/>
          <w:lang w:val="en-GB"/>
        </w:rPr>
        <w:t>S</w:t>
      </w:r>
      <w:r>
        <w:rPr>
          <w:b w:val="0"/>
          <w:bCs w:val="0"/>
          <w:lang w:val="en-GB"/>
        </w:rPr>
        <w:t>o</w:t>
      </w:r>
      <w:r w:rsidRPr="00AF435A">
        <w:rPr>
          <w:b w:val="0"/>
          <w:bCs w:val="0"/>
          <w:lang w:val="en-GB"/>
        </w:rPr>
        <w:t>T</w:t>
      </w:r>
      <w:proofErr w:type="spellEnd"/>
      <w:r w:rsidRPr="00AF435A">
        <w:rPr>
          <w:b w:val="0"/>
          <w:bCs w:val="0"/>
          <w:lang w:val="en-GB"/>
        </w:rPr>
        <w:t>, followed by participant-oriented research accounting for a third of the studies. The two broad methodologies constituted more than 80</w:t>
      </w:r>
      <w:r w:rsidR="00D13887">
        <w:rPr>
          <w:b w:val="0"/>
          <w:bCs w:val="0"/>
          <w:lang w:val="en-GB"/>
        </w:rPr>
        <w:t>%</w:t>
      </w:r>
      <w:r w:rsidRPr="00AF435A">
        <w:rPr>
          <w:b w:val="0"/>
          <w:bCs w:val="0"/>
          <w:lang w:val="en-GB"/>
        </w:rPr>
        <w:t xml:space="preserve"> of all studies. This finding was in line with the nature and definition of the </w:t>
      </w:r>
      <w:proofErr w:type="spellStart"/>
      <w:r w:rsidRPr="00AF435A">
        <w:rPr>
          <w:b w:val="0"/>
          <w:bCs w:val="0"/>
          <w:lang w:val="en-GB"/>
        </w:rPr>
        <w:t>S</w:t>
      </w:r>
      <w:r>
        <w:rPr>
          <w:b w:val="0"/>
          <w:bCs w:val="0"/>
          <w:lang w:val="en-GB"/>
        </w:rPr>
        <w:t>o</w:t>
      </w:r>
      <w:r w:rsidRPr="00AF435A">
        <w:rPr>
          <w:b w:val="0"/>
          <w:bCs w:val="0"/>
          <w:lang w:val="en-GB"/>
        </w:rPr>
        <w:t>T</w:t>
      </w:r>
      <w:proofErr w:type="spellEnd"/>
      <w:r w:rsidRPr="00AF435A">
        <w:rPr>
          <w:b w:val="0"/>
          <w:bCs w:val="0"/>
          <w:lang w:val="en-GB"/>
        </w:rPr>
        <w:t>, which deals with the behaviour of people (participants) in the society (context). Therefore, the people (including translators, publishers, editors, and other agents) and the external factors and circumstances in which they produce translations were more important than the product or process of translation. As Table 6 depicts, while product-oriented research comprised 18% of the studies, no study was based on process-oriented research methodology.</w:t>
      </w:r>
    </w:p>
    <w:p w14:paraId="6ABDC7CA" w14:textId="4E830BC9" w:rsidR="00AF435A" w:rsidRDefault="00AF435A" w:rsidP="003D5412">
      <w:pPr>
        <w:pStyle w:val="Podtitul"/>
        <w:keepNext/>
        <w:spacing w:before="160" w:after="120"/>
        <w:jc w:val="left"/>
        <w:rPr>
          <w:b w:val="0"/>
          <w:bCs w:val="0"/>
          <w:lang w:val="en-GB"/>
        </w:rPr>
      </w:pPr>
      <w:r w:rsidRPr="00AF435A">
        <w:rPr>
          <w:b w:val="0"/>
          <w:bCs w:val="0"/>
          <w:lang w:val="en-GB"/>
        </w:rPr>
        <w:t>Table 6</w:t>
      </w:r>
      <w:r w:rsidR="006E50EF">
        <w:rPr>
          <w:b w:val="0"/>
          <w:bCs w:val="0"/>
          <w:lang w:val="en-GB"/>
        </w:rPr>
        <w:t>:</w:t>
      </w:r>
      <w:r w:rsidRPr="00AF435A">
        <w:rPr>
          <w:b w:val="0"/>
          <w:bCs w:val="0"/>
          <w:lang w:val="en-GB"/>
        </w:rPr>
        <w:t xml:space="preserve"> Research methodologies adopted by Iranian postgraduate researchers</w:t>
      </w:r>
    </w:p>
    <w:tbl>
      <w:tblPr>
        <w:tblW w:w="5000" w:type="pct"/>
        <w:jc w:val="center"/>
        <w:tblLook w:val="04A0" w:firstRow="1" w:lastRow="0" w:firstColumn="1" w:lastColumn="0" w:noHBand="0" w:noVBand="1"/>
      </w:tblPr>
      <w:tblGrid>
        <w:gridCol w:w="561"/>
        <w:gridCol w:w="4683"/>
        <w:gridCol w:w="1890"/>
        <w:gridCol w:w="1892"/>
      </w:tblGrid>
      <w:tr w:rsidR="00AF435A" w:rsidRPr="00170686" w14:paraId="7F445D69" w14:textId="77777777" w:rsidTr="00714392">
        <w:trPr>
          <w:jc w:val="center"/>
        </w:trPr>
        <w:tc>
          <w:tcPr>
            <w:tcW w:w="311" w:type="pct"/>
            <w:tcBorders>
              <w:top w:val="single" w:sz="12" w:space="0" w:color="auto"/>
              <w:bottom w:val="single" w:sz="8" w:space="0" w:color="auto"/>
            </w:tcBorders>
            <w:shd w:val="clear" w:color="auto" w:fill="auto"/>
          </w:tcPr>
          <w:p w14:paraId="0DA688B9" w14:textId="77777777" w:rsidR="00AF435A" w:rsidRPr="00170686" w:rsidRDefault="00AF435A" w:rsidP="006E50EF">
            <w:pPr>
              <w:keepNext/>
              <w:spacing w:after="120"/>
              <w:jc w:val="center"/>
              <w:rPr>
                <w:rFonts w:cs="Arial"/>
                <w:sz w:val="22"/>
                <w:szCs w:val="22"/>
                <w:lang w:val="en-MY" w:eastAsia="en-US"/>
              </w:rPr>
            </w:pPr>
            <w:r w:rsidRPr="00170686">
              <w:rPr>
                <w:rFonts w:cs="Arial"/>
                <w:sz w:val="22"/>
                <w:szCs w:val="22"/>
                <w:lang w:val="en-MY" w:eastAsia="en-US"/>
              </w:rPr>
              <w:t>No.</w:t>
            </w:r>
          </w:p>
        </w:tc>
        <w:tc>
          <w:tcPr>
            <w:tcW w:w="2594" w:type="pct"/>
            <w:tcBorders>
              <w:top w:val="single" w:sz="12" w:space="0" w:color="auto"/>
              <w:bottom w:val="single" w:sz="8" w:space="0" w:color="auto"/>
            </w:tcBorders>
            <w:shd w:val="clear" w:color="auto" w:fill="auto"/>
          </w:tcPr>
          <w:p w14:paraId="48D7C9BE" w14:textId="77777777" w:rsidR="00AF435A" w:rsidRPr="00170686" w:rsidRDefault="00AF435A" w:rsidP="006E50EF">
            <w:pPr>
              <w:keepNext/>
              <w:spacing w:after="120"/>
              <w:jc w:val="center"/>
              <w:rPr>
                <w:rFonts w:cs="Arial"/>
                <w:strike/>
                <w:sz w:val="22"/>
                <w:szCs w:val="22"/>
                <w:lang w:val="en-MY" w:eastAsia="en-US"/>
              </w:rPr>
            </w:pPr>
            <w:r w:rsidRPr="00170686">
              <w:rPr>
                <w:rFonts w:cs="Arial"/>
                <w:sz w:val="22"/>
                <w:szCs w:val="22"/>
                <w:lang w:val="en-MY" w:eastAsia="en-US"/>
              </w:rPr>
              <w:t>Research Methodologies</w:t>
            </w:r>
          </w:p>
        </w:tc>
        <w:tc>
          <w:tcPr>
            <w:tcW w:w="1047" w:type="pct"/>
            <w:tcBorders>
              <w:top w:val="single" w:sz="12" w:space="0" w:color="auto"/>
              <w:bottom w:val="single" w:sz="8" w:space="0" w:color="auto"/>
            </w:tcBorders>
            <w:shd w:val="clear" w:color="auto" w:fill="auto"/>
          </w:tcPr>
          <w:p w14:paraId="19636221" w14:textId="77777777" w:rsidR="00AF435A" w:rsidRPr="00170686" w:rsidRDefault="00AF435A" w:rsidP="006E50EF">
            <w:pPr>
              <w:keepNext/>
              <w:spacing w:after="120"/>
              <w:jc w:val="center"/>
              <w:rPr>
                <w:rFonts w:cs="Arial"/>
                <w:sz w:val="22"/>
                <w:szCs w:val="22"/>
                <w:lang w:val="en-MY" w:eastAsia="en-US"/>
              </w:rPr>
            </w:pPr>
            <w:r w:rsidRPr="00170686">
              <w:rPr>
                <w:rFonts w:cs="Arial"/>
                <w:sz w:val="22"/>
                <w:szCs w:val="22"/>
                <w:lang w:val="en-MY" w:eastAsia="en-US"/>
              </w:rPr>
              <w:t>Frequency (N)</w:t>
            </w:r>
          </w:p>
        </w:tc>
        <w:tc>
          <w:tcPr>
            <w:tcW w:w="1048" w:type="pct"/>
            <w:tcBorders>
              <w:top w:val="single" w:sz="12" w:space="0" w:color="auto"/>
              <w:bottom w:val="single" w:sz="8" w:space="0" w:color="auto"/>
            </w:tcBorders>
            <w:shd w:val="clear" w:color="auto" w:fill="auto"/>
          </w:tcPr>
          <w:p w14:paraId="14B8593E" w14:textId="77777777" w:rsidR="00AF435A" w:rsidRPr="00170686" w:rsidRDefault="00AF435A" w:rsidP="006E50EF">
            <w:pPr>
              <w:keepNext/>
              <w:spacing w:after="120"/>
              <w:jc w:val="center"/>
              <w:rPr>
                <w:rFonts w:cs="Arial"/>
                <w:sz w:val="22"/>
                <w:szCs w:val="22"/>
                <w:lang w:val="en-MY" w:eastAsia="en-US"/>
              </w:rPr>
            </w:pPr>
            <w:r w:rsidRPr="00170686">
              <w:rPr>
                <w:rFonts w:cs="Arial"/>
                <w:sz w:val="22"/>
                <w:szCs w:val="22"/>
                <w:lang w:val="en-MY" w:eastAsia="en-US"/>
              </w:rPr>
              <w:t>Percentage (%)</w:t>
            </w:r>
          </w:p>
        </w:tc>
      </w:tr>
      <w:tr w:rsidR="00AF435A" w:rsidRPr="00170686" w14:paraId="07A9E590" w14:textId="77777777" w:rsidTr="0067312D">
        <w:trPr>
          <w:trHeight w:val="259"/>
          <w:jc w:val="center"/>
        </w:trPr>
        <w:tc>
          <w:tcPr>
            <w:tcW w:w="311" w:type="pct"/>
            <w:tcBorders>
              <w:top w:val="single" w:sz="8" w:space="0" w:color="auto"/>
            </w:tcBorders>
            <w:shd w:val="clear" w:color="auto" w:fill="auto"/>
          </w:tcPr>
          <w:p w14:paraId="7CC086B1" w14:textId="77777777" w:rsidR="00AF435A" w:rsidRPr="00170686" w:rsidRDefault="00AF435A" w:rsidP="0067312D">
            <w:pPr>
              <w:keepNext/>
              <w:jc w:val="center"/>
              <w:rPr>
                <w:rFonts w:cs="Arial"/>
                <w:sz w:val="22"/>
                <w:szCs w:val="22"/>
                <w:lang w:val="en-MY" w:eastAsia="en-US"/>
              </w:rPr>
            </w:pPr>
            <w:r w:rsidRPr="00170686">
              <w:rPr>
                <w:rFonts w:cs="Arial"/>
                <w:sz w:val="22"/>
                <w:szCs w:val="22"/>
                <w:lang w:val="en-MY" w:eastAsia="en-US"/>
              </w:rPr>
              <w:t>1</w:t>
            </w:r>
          </w:p>
        </w:tc>
        <w:tc>
          <w:tcPr>
            <w:tcW w:w="2594" w:type="pct"/>
            <w:tcBorders>
              <w:top w:val="single" w:sz="8" w:space="0" w:color="auto"/>
            </w:tcBorders>
            <w:shd w:val="clear" w:color="auto" w:fill="auto"/>
          </w:tcPr>
          <w:p w14:paraId="00FC36C1" w14:textId="77777777" w:rsidR="00AF435A" w:rsidRPr="00170686" w:rsidRDefault="00AF435A" w:rsidP="0067312D">
            <w:pPr>
              <w:keepNext/>
              <w:rPr>
                <w:rFonts w:cs="Arial"/>
                <w:sz w:val="22"/>
                <w:szCs w:val="22"/>
                <w:lang w:val="en-MY" w:eastAsia="en-US"/>
              </w:rPr>
            </w:pPr>
            <w:r w:rsidRPr="00170686">
              <w:rPr>
                <w:rFonts w:cs="Arial"/>
                <w:sz w:val="22"/>
                <w:szCs w:val="22"/>
                <w:lang w:val="en-MY" w:eastAsia="en-US"/>
              </w:rPr>
              <w:t>Context-Oriented Research</w:t>
            </w:r>
          </w:p>
        </w:tc>
        <w:tc>
          <w:tcPr>
            <w:tcW w:w="1047" w:type="pct"/>
            <w:tcBorders>
              <w:top w:val="single" w:sz="8" w:space="0" w:color="auto"/>
            </w:tcBorders>
            <w:shd w:val="clear" w:color="auto" w:fill="auto"/>
          </w:tcPr>
          <w:p w14:paraId="66CD46BA" w14:textId="77777777" w:rsidR="00AF435A" w:rsidRPr="00170686" w:rsidRDefault="00AF435A" w:rsidP="0067312D">
            <w:pPr>
              <w:keepNext/>
              <w:jc w:val="center"/>
              <w:rPr>
                <w:rFonts w:cs="Arial"/>
                <w:sz w:val="22"/>
                <w:szCs w:val="22"/>
                <w:lang w:val="en-MY" w:eastAsia="en-US"/>
              </w:rPr>
            </w:pPr>
            <w:r w:rsidRPr="00170686">
              <w:rPr>
                <w:rFonts w:cs="Arial"/>
                <w:sz w:val="22"/>
                <w:szCs w:val="22"/>
                <w:lang w:val="en-MY" w:eastAsia="en-US"/>
              </w:rPr>
              <w:t>23</w:t>
            </w:r>
          </w:p>
        </w:tc>
        <w:tc>
          <w:tcPr>
            <w:tcW w:w="1048" w:type="pct"/>
            <w:tcBorders>
              <w:top w:val="single" w:sz="8" w:space="0" w:color="auto"/>
            </w:tcBorders>
            <w:shd w:val="clear" w:color="auto" w:fill="auto"/>
          </w:tcPr>
          <w:p w14:paraId="6C1F4BC0" w14:textId="77777777" w:rsidR="00AF435A" w:rsidRPr="00170686" w:rsidRDefault="00AF435A" w:rsidP="0067312D">
            <w:pPr>
              <w:keepNext/>
              <w:jc w:val="center"/>
              <w:rPr>
                <w:rFonts w:cs="Arial"/>
                <w:sz w:val="22"/>
                <w:szCs w:val="22"/>
                <w:lang w:val="en-MY" w:eastAsia="en-US"/>
              </w:rPr>
            </w:pPr>
            <w:r w:rsidRPr="00170686">
              <w:rPr>
                <w:rFonts w:cs="Arial"/>
                <w:sz w:val="22"/>
                <w:szCs w:val="22"/>
                <w:lang w:val="en-MY" w:eastAsia="en-US"/>
              </w:rPr>
              <w:t>47.91</w:t>
            </w:r>
          </w:p>
        </w:tc>
      </w:tr>
      <w:tr w:rsidR="00AF435A" w:rsidRPr="00170686" w14:paraId="23DE3919" w14:textId="77777777" w:rsidTr="00714392">
        <w:trPr>
          <w:jc w:val="center"/>
        </w:trPr>
        <w:tc>
          <w:tcPr>
            <w:tcW w:w="311" w:type="pct"/>
            <w:shd w:val="clear" w:color="auto" w:fill="auto"/>
          </w:tcPr>
          <w:p w14:paraId="1BD86C81" w14:textId="77777777" w:rsidR="00AF435A" w:rsidRPr="00170686" w:rsidRDefault="00AF435A">
            <w:pPr>
              <w:jc w:val="center"/>
              <w:rPr>
                <w:rFonts w:cs="Arial"/>
                <w:sz w:val="22"/>
                <w:szCs w:val="22"/>
                <w:lang w:val="en-MY" w:eastAsia="en-US"/>
              </w:rPr>
            </w:pPr>
            <w:r w:rsidRPr="00170686">
              <w:rPr>
                <w:rFonts w:cs="Arial"/>
                <w:sz w:val="22"/>
                <w:szCs w:val="22"/>
                <w:lang w:val="en-MY" w:eastAsia="en-US"/>
              </w:rPr>
              <w:t>2</w:t>
            </w:r>
          </w:p>
        </w:tc>
        <w:tc>
          <w:tcPr>
            <w:tcW w:w="2594" w:type="pct"/>
            <w:shd w:val="clear" w:color="auto" w:fill="auto"/>
          </w:tcPr>
          <w:p w14:paraId="58C74443" w14:textId="77777777" w:rsidR="00AF435A" w:rsidRPr="00170686" w:rsidRDefault="00AF435A">
            <w:pPr>
              <w:rPr>
                <w:rFonts w:cs="Arial"/>
                <w:sz w:val="22"/>
                <w:szCs w:val="22"/>
                <w:lang w:val="en-MY" w:eastAsia="en-US"/>
              </w:rPr>
            </w:pPr>
            <w:r w:rsidRPr="00170686">
              <w:rPr>
                <w:rFonts w:cs="Arial"/>
                <w:sz w:val="22"/>
                <w:szCs w:val="22"/>
                <w:lang w:val="en-MY" w:eastAsia="en-US"/>
              </w:rPr>
              <w:t>Participant-Oriented Research</w:t>
            </w:r>
          </w:p>
        </w:tc>
        <w:tc>
          <w:tcPr>
            <w:tcW w:w="1047" w:type="pct"/>
            <w:shd w:val="clear" w:color="auto" w:fill="auto"/>
          </w:tcPr>
          <w:p w14:paraId="6F92AF67" w14:textId="77777777" w:rsidR="00AF435A" w:rsidRPr="00170686" w:rsidRDefault="00AF435A">
            <w:pPr>
              <w:jc w:val="center"/>
              <w:rPr>
                <w:rFonts w:cs="Arial"/>
                <w:sz w:val="22"/>
                <w:szCs w:val="22"/>
                <w:lang w:val="en-MY" w:eastAsia="en-US"/>
              </w:rPr>
            </w:pPr>
            <w:r w:rsidRPr="00170686">
              <w:rPr>
                <w:rFonts w:cs="Arial"/>
                <w:sz w:val="22"/>
                <w:szCs w:val="22"/>
                <w:lang w:val="en-MY" w:eastAsia="en-US"/>
              </w:rPr>
              <w:t>16</w:t>
            </w:r>
          </w:p>
        </w:tc>
        <w:tc>
          <w:tcPr>
            <w:tcW w:w="1048" w:type="pct"/>
            <w:shd w:val="clear" w:color="auto" w:fill="auto"/>
          </w:tcPr>
          <w:p w14:paraId="6960064A" w14:textId="77777777" w:rsidR="00AF435A" w:rsidRPr="00170686" w:rsidRDefault="00AF435A">
            <w:pPr>
              <w:jc w:val="center"/>
              <w:rPr>
                <w:rFonts w:cs="Arial"/>
                <w:sz w:val="22"/>
                <w:szCs w:val="22"/>
                <w:lang w:val="en-MY" w:eastAsia="en-US"/>
              </w:rPr>
            </w:pPr>
            <w:r w:rsidRPr="00170686">
              <w:rPr>
                <w:rFonts w:cs="Arial"/>
                <w:sz w:val="22"/>
                <w:szCs w:val="22"/>
                <w:lang w:val="en-MY" w:eastAsia="en-US"/>
              </w:rPr>
              <w:t>33.33</w:t>
            </w:r>
          </w:p>
        </w:tc>
      </w:tr>
      <w:tr w:rsidR="00AF435A" w:rsidRPr="00170686" w14:paraId="17E84158" w14:textId="77777777" w:rsidTr="00714392">
        <w:trPr>
          <w:jc w:val="center"/>
        </w:trPr>
        <w:tc>
          <w:tcPr>
            <w:tcW w:w="311" w:type="pct"/>
            <w:shd w:val="clear" w:color="auto" w:fill="auto"/>
          </w:tcPr>
          <w:p w14:paraId="1F41435C" w14:textId="77777777" w:rsidR="00AF435A" w:rsidRPr="00170686" w:rsidRDefault="00AF435A" w:rsidP="00170686">
            <w:pPr>
              <w:jc w:val="center"/>
              <w:rPr>
                <w:rFonts w:cs="Arial"/>
                <w:sz w:val="22"/>
                <w:szCs w:val="22"/>
                <w:lang w:val="en-MY" w:eastAsia="en-US"/>
              </w:rPr>
            </w:pPr>
            <w:r w:rsidRPr="00170686">
              <w:rPr>
                <w:rFonts w:cs="Arial"/>
                <w:sz w:val="22"/>
                <w:szCs w:val="22"/>
                <w:lang w:val="en-MY" w:eastAsia="en-US"/>
              </w:rPr>
              <w:t>3</w:t>
            </w:r>
          </w:p>
        </w:tc>
        <w:tc>
          <w:tcPr>
            <w:tcW w:w="2594" w:type="pct"/>
            <w:shd w:val="clear" w:color="auto" w:fill="auto"/>
          </w:tcPr>
          <w:p w14:paraId="25C1DAA5" w14:textId="77777777" w:rsidR="00AF435A" w:rsidRPr="00170686" w:rsidRDefault="00AF435A">
            <w:pPr>
              <w:rPr>
                <w:rFonts w:cs="Arial"/>
                <w:sz w:val="22"/>
                <w:szCs w:val="22"/>
                <w:lang w:val="en-MY" w:eastAsia="en-US"/>
              </w:rPr>
            </w:pPr>
            <w:r w:rsidRPr="00170686">
              <w:rPr>
                <w:rFonts w:cs="Arial"/>
                <w:sz w:val="22"/>
                <w:szCs w:val="22"/>
                <w:lang w:val="en-MY" w:eastAsia="en-US"/>
              </w:rPr>
              <w:t>Product-Oriented Research</w:t>
            </w:r>
          </w:p>
        </w:tc>
        <w:tc>
          <w:tcPr>
            <w:tcW w:w="1047" w:type="pct"/>
            <w:shd w:val="clear" w:color="auto" w:fill="auto"/>
          </w:tcPr>
          <w:p w14:paraId="18EDA497" w14:textId="77777777" w:rsidR="00AF435A" w:rsidRPr="00170686" w:rsidRDefault="00AF435A" w:rsidP="00170686">
            <w:pPr>
              <w:jc w:val="center"/>
              <w:rPr>
                <w:rFonts w:cs="Arial"/>
                <w:sz w:val="22"/>
                <w:szCs w:val="22"/>
                <w:lang w:val="en-MY" w:eastAsia="en-US"/>
              </w:rPr>
            </w:pPr>
            <w:r w:rsidRPr="00170686">
              <w:rPr>
                <w:rFonts w:cs="Arial"/>
                <w:sz w:val="22"/>
                <w:szCs w:val="22"/>
                <w:lang w:val="en-MY" w:eastAsia="en-US"/>
              </w:rPr>
              <w:t>9</w:t>
            </w:r>
          </w:p>
        </w:tc>
        <w:tc>
          <w:tcPr>
            <w:tcW w:w="1048" w:type="pct"/>
            <w:shd w:val="clear" w:color="auto" w:fill="auto"/>
          </w:tcPr>
          <w:p w14:paraId="6FCFF49E" w14:textId="77777777" w:rsidR="00AF435A" w:rsidRPr="00170686" w:rsidRDefault="00AF435A" w:rsidP="00170686">
            <w:pPr>
              <w:jc w:val="center"/>
              <w:rPr>
                <w:rFonts w:cs="Arial"/>
                <w:sz w:val="22"/>
                <w:szCs w:val="22"/>
                <w:lang w:val="en-MY" w:eastAsia="en-US"/>
              </w:rPr>
            </w:pPr>
            <w:r w:rsidRPr="00170686">
              <w:rPr>
                <w:rFonts w:cs="Arial"/>
                <w:sz w:val="22"/>
                <w:szCs w:val="22"/>
                <w:lang w:val="en-MY" w:eastAsia="en-US"/>
              </w:rPr>
              <w:t>18.75</w:t>
            </w:r>
          </w:p>
        </w:tc>
      </w:tr>
      <w:tr w:rsidR="00AF435A" w:rsidRPr="00170686" w14:paraId="5A9B909D" w14:textId="77777777" w:rsidTr="00714392">
        <w:trPr>
          <w:jc w:val="center"/>
        </w:trPr>
        <w:tc>
          <w:tcPr>
            <w:tcW w:w="311" w:type="pct"/>
            <w:tcBorders>
              <w:bottom w:val="single" w:sz="12" w:space="0" w:color="auto"/>
            </w:tcBorders>
            <w:shd w:val="clear" w:color="auto" w:fill="auto"/>
          </w:tcPr>
          <w:p w14:paraId="441F8ED5" w14:textId="77777777" w:rsidR="00AF435A" w:rsidRPr="00170686" w:rsidRDefault="00AF435A" w:rsidP="00170686">
            <w:pPr>
              <w:jc w:val="center"/>
              <w:rPr>
                <w:rFonts w:cs="Arial"/>
                <w:sz w:val="22"/>
                <w:szCs w:val="22"/>
                <w:lang w:val="en-MY" w:eastAsia="en-US"/>
              </w:rPr>
            </w:pPr>
            <w:r w:rsidRPr="00170686">
              <w:rPr>
                <w:rFonts w:cs="Arial"/>
                <w:sz w:val="22"/>
                <w:szCs w:val="22"/>
                <w:lang w:val="en-MY" w:eastAsia="en-US"/>
              </w:rPr>
              <w:t>4</w:t>
            </w:r>
          </w:p>
        </w:tc>
        <w:tc>
          <w:tcPr>
            <w:tcW w:w="2594" w:type="pct"/>
            <w:tcBorders>
              <w:bottom w:val="single" w:sz="12" w:space="0" w:color="auto"/>
            </w:tcBorders>
            <w:shd w:val="clear" w:color="auto" w:fill="auto"/>
          </w:tcPr>
          <w:p w14:paraId="09B74E42" w14:textId="77777777" w:rsidR="00AF435A" w:rsidRPr="00170686" w:rsidRDefault="00AF435A">
            <w:pPr>
              <w:rPr>
                <w:rFonts w:cs="Arial"/>
                <w:sz w:val="22"/>
                <w:szCs w:val="22"/>
                <w:lang w:val="en-MY" w:eastAsia="en-US"/>
              </w:rPr>
            </w:pPr>
            <w:r w:rsidRPr="00170686">
              <w:rPr>
                <w:rFonts w:cs="Arial"/>
                <w:sz w:val="22"/>
                <w:szCs w:val="22"/>
                <w:lang w:val="en-MY" w:eastAsia="en-US"/>
              </w:rPr>
              <w:t>Process-Oriented Research</w:t>
            </w:r>
          </w:p>
        </w:tc>
        <w:tc>
          <w:tcPr>
            <w:tcW w:w="1047" w:type="pct"/>
            <w:tcBorders>
              <w:bottom w:val="single" w:sz="12" w:space="0" w:color="auto"/>
            </w:tcBorders>
            <w:shd w:val="clear" w:color="auto" w:fill="auto"/>
          </w:tcPr>
          <w:p w14:paraId="5841FB63" w14:textId="77777777" w:rsidR="00AF435A" w:rsidRPr="00170686" w:rsidRDefault="00AF435A" w:rsidP="00170686">
            <w:pPr>
              <w:jc w:val="center"/>
              <w:rPr>
                <w:rFonts w:cs="Arial"/>
                <w:sz w:val="22"/>
                <w:szCs w:val="22"/>
                <w:lang w:val="en-MY" w:eastAsia="en-US"/>
              </w:rPr>
            </w:pPr>
            <w:r w:rsidRPr="00170686">
              <w:rPr>
                <w:rFonts w:cs="Arial"/>
                <w:sz w:val="22"/>
                <w:szCs w:val="22"/>
                <w:lang w:val="en-MY" w:eastAsia="en-US"/>
              </w:rPr>
              <w:t>0</w:t>
            </w:r>
          </w:p>
        </w:tc>
        <w:tc>
          <w:tcPr>
            <w:tcW w:w="1048" w:type="pct"/>
            <w:tcBorders>
              <w:bottom w:val="single" w:sz="12" w:space="0" w:color="auto"/>
            </w:tcBorders>
            <w:shd w:val="clear" w:color="auto" w:fill="auto"/>
          </w:tcPr>
          <w:p w14:paraId="7655F4C1" w14:textId="77777777" w:rsidR="00AF435A" w:rsidRPr="00170686" w:rsidRDefault="00AF435A" w:rsidP="00170686">
            <w:pPr>
              <w:jc w:val="center"/>
              <w:rPr>
                <w:rFonts w:cs="Arial"/>
                <w:sz w:val="22"/>
                <w:szCs w:val="22"/>
                <w:lang w:val="en-MY" w:eastAsia="en-US"/>
              </w:rPr>
            </w:pPr>
            <w:r w:rsidRPr="00170686">
              <w:rPr>
                <w:rFonts w:cs="Arial"/>
                <w:sz w:val="22"/>
                <w:szCs w:val="22"/>
                <w:lang w:val="en-MY" w:eastAsia="en-US"/>
              </w:rPr>
              <w:t>0</w:t>
            </w:r>
          </w:p>
        </w:tc>
      </w:tr>
    </w:tbl>
    <w:p w14:paraId="7BF100ED" w14:textId="70737913" w:rsidR="005E1CF5" w:rsidRPr="007253CA" w:rsidRDefault="005E1CF5" w:rsidP="005E1CF5">
      <w:pPr>
        <w:pStyle w:val="Podtitul"/>
        <w:spacing w:before="240"/>
        <w:ind w:firstLine="709"/>
        <w:jc w:val="both"/>
        <w:rPr>
          <w:b w:val="0"/>
          <w:bCs w:val="0"/>
          <w:lang w:val="en-GB"/>
        </w:rPr>
      </w:pPr>
      <w:r w:rsidRPr="007253CA">
        <w:rPr>
          <w:b w:val="0"/>
          <w:bCs w:val="0"/>
          <w:lang w:val="en-GB"/>
        </w:rPr>
        <w:t>As depicted in Table 7, both case study and survey study methods accounted for about 44</w:t>
      </w:r>
      <w:r w:rsidR="00D13887">
        <w:rPr>
          <w:b w:val="0"/>
          <w:bCs w:val="0"/>
          <w:lang w:val="en-GB"/>
        </w:rPr>
        <w:t>%</w:t>
      </w:r>
      <w:r w:rsidRPr="007253CA">
        <w:rPr>
          <w:b w:val="0"/>
          <w:bCs w:val="0"/>
          <w:lang w:val="en-GB"/>
        </w:rPr>
        <w:t xml:space="preserve"> and 25</w:t>
      </w:r>
      <w:r w:rsidR="00D13887">
        <w:rPr>
          <w:b w:val="0"/>
          <w:bCs w:val="0"/>
          <w:lang w:val="en-GB"/>
        </w:rPr>
        <w:t>%</w:t>
      </w:r>
      <w:r w:rsidRPr="007253CA">
        <w:rPr>
          <w:b w:val="0"/>
          <w:bCs w:val="0"/>
          <w:lang w:val="en-GB"/>
        </w:rPr>
        <w:t xml:space="preserve"> of research methods adopted by Iranian postgraduate researchers. This means that the two methods constituted about 69% of all research methods adopted by Iranian postgraduate researchers. From an educational point of view, this denotes the importance of teaching case study and survey study methods to postgraduate researchers who conduct research on the </w:t>
      </w:r>
      <w:proofErr w:type="spellStart"/>
      <w:r w:rsidRPr="007253CA">
        <w:rPr>
          <w:b w:val="0"/>
          <w:bCs w:val="0"/>
          <w:lang w:val="en-GB"/>
        </w:rPr>
        <w:t>S</w:t>
      </w:r>
      <w:r>
        <w:rPr>
          <w:b w:val="0"/>
          <w:bCs w:val="0"/>
          <w:lang w:val="en-GB"/>
        </w:rPr>
        <w:t>o</w:t>
      </w:r>
      <w:r w:rsidRPr="007253CA">
        <w:rPr>
          <w:b w:val="0"/>
          <w:bCs w:val="0"/>
          <w:lang w:val="en-GB"/>
        </w:rPr>
        <w:t>T</w:t>
      </w:r>
      <w:proofErr w:type="spellEnd"/>
      <w:r w:rsidRPr="007253CA">
        <w:rPr>
          <w:b w:val="0"/>
          <w:bCs w:val="0"/>
          <w:lang w:val="en-GB"/>
        </w:rPr>
        <w:t>. It is notable that from the 21 case studies 14 studies (67</w:t>
      </w:r>
      <w:r w:rsidR="00D13887">
        <w:rPr>
          <w:b w:val="0"/>
          <w:bCs w:val="0"/>
          <w:lang w:val="en-GB"/>
        </w:rPr>
        <w:t>%</w:t>
      </w:r>
      <w:r w:rsidRPr="007253CA">
        <w:rPr>
          <w:b w:val="0"/>
          <w:bCs w:val="0"/>
          <w:lang w:val="en-GB"/>
        </w:rPr>
        <w:t xml:space="preserve">) were multiple case studies. According </w:t>
      </w:r>
      <w:r w:rsidRPr="00AA53A0">
        <w:rPr>
          <w:b w:val="0"/>
          <w:bCs w:val="0"/>
          <w:lang w:val="en-GB"/>
        </w:rPr>
        <w:t>to Yin (2003</w:t>
      </w:r>
      <w:r w:rsidR="003A3FAA">
        <w:rPr>
          <w:b w:val="0"/>
          <w:bCs w:val="0"/>
          <w:lang w:val="en-GB"/>
        </w:rPr>
        <w:t>: 42</w:t>
      </w:r>
      <w:r w:rsidRPr="00AA53A0">
        <w:rPr>
          <w:b w:val="0"/>
          <w:bCs w:val="0"/>
          <w:lang w:val="en-GB"/>
        </w:rPr>
        <w:t xml:space="preserve">), </w:t>
      </w:r>
      <w:r w:rsidRPr="007253CA">
        <w:rPr>
          <w:b w:val="0"/>
          <w:bCs w:val="0"/>
          <w:lang w:val="en-GB"/>
        </w:rPr>
        <w:t>multiple case designs, if conducted appropriately, can present strong evidence of an incident, and hence are superior to single-case studies. Consequently, more Iranian researchers in the field of translation sociology opted to study multiple cases in their postgraduate projects.</w:t>
      </w:r>
    </w:p>
    <w:p w14:paraId="251433AF" w14:textId="693B7533" w:rsidR="00AF435A" w:rsidRDefault="007253CA" w:rsidP="003D5412">
      <w:pPr>
        <w:pStyle w:val="Podtitul"/>
        <w:keepNext/>
        <w:spacing w:before="160" w:after="120"/>
        <w:jc w:val="left"/>
        <w:rPr>
          <w:b w:val="0"/>
          <w:bCs w:val="0"/>
          <w:lang w:val="en-GB"/>
        </w:rPr>
      </w:pPr>
      <w:r w:rsidRPr="007253CA">
        <w:rPr>
          <w:b w:val="0"/>
          <w:bCs w:val="0"/>
          <w:lang w:val="en-GB"/>
        </w:rPr>
        <w:t>Table 7</w:t>
      </w:r>
      <w:r w:rsidR="001F7B1F">
        <w:rPr>
          <w:b w:val="0"/>
          <w:bCs w:val="0"/>
          <w:lang w:val="en-GB"/>
        </w:rPr>
        <w:t>:</w:t>
      </w:r>
      <w:r w:rsidRPr="007253CA">
        <w:rPr>
          <w:b w:val="0"/>
          <w:bCs w:val="0"/>
          <w:lang w:val="en-GB"/>
        </w:rPr>
        <w:t xml:space="preserve"> Research methods adopted by Iranian postgraduate researchers</w:t>
      </w:r>
    </w:p>
    <w:tbl>
      <w:tblPr>
        <w:tblW w:w="5000" w:type="pct"/>
        <w:jc w:val="center"/>
        <w:tblLook w:val="04A0" w:firstRow="1" w:lastRow="0" w:firstColumn="1" w:lastColumn="0" w:noHBand="0" w:noVBand="1"/>
      </w:tblPr>
      <w:tblGrid>
        <w:gridCol w:w="614"/>
        <w:gridCol w:w="4928"/>
        <w:gridCol w:w="1677"/>
        <w:gridCol w:w="1807"/>
      </w:tblGrid>
      <w:tr w:rsidR="007253CA" w:rsidRPr="00170686" w14:paraId="23A3407C" w14:textId="77777777" w:rsidTr="006E50EF">
        <w:trPr>
          <w:jc w:val="center"/>
        </w:trPr>
        <w:tc>
          <w:tcPr>
            <w:tcW w:w="340" w:type="pct"/>
            <w:tcBorders>
              <w:top w:val="single" w:sz="12" w:space="0" w:color="auto"/>
              <w:bottom w:val="single" w:sz="12" w:space="0" w:color="auto"/>
            </w:tcBorders>
            <w:shd w:val="clear" w:color="auto" w:fill="auto"/>
          </w:tcPr>
          <w:p w14:paraId="130F76E6"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No.</w:t>
            </w:r>
          </w:p>
        </w:tc>
        <w:tc>
          <w:tcPr>
            <w:tcW w:w="2730" w:type="pct"/>
            <w:tcBorders>
              <w:top w:val="single" w:sz="12" w:space="0" w:color="auto"/>
              <w:bottom w:val="single" w:sz="12" w:space="0" w:color="auto"/>
            </w:tcBorders>
            <w:shd w:val="clear" w:color="auto" w:fill="auto"/>
          </w:tcPr>
          <w:p w14:paraId="5351237B"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Research Method</w:t>
            </w:r>
          </w:p>
        </w:tc>
        <w:tc>
          <w:tcPr>
            <w:tcW w:w="929" w:type="pct"/>
            <w:tcBorders>
              <w:top w:val="single" w:sz="12" w:space="0" w:color="auto"/>
              <w:bottom w:val="single" w:sz="12" w:space="0" w:color="auto"/>
            </w:tcBorders>
            <w:shd w:val="clear" w:color="auto" w:fill="auto"/>
          </w:tcPr>
          <w:p w14:paraId="6ACAFBEC"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Frequency (N)</w:t>
            </w:r>
          </w:p>
        </w:tc>
        <w:tc>
          <w:tcPr>
            <w:tcW w:w="1002" w:type="pct"/>
            <w:tcBorders>
              <w:top w:val="single" w:sz="12" w:space="0" w:color="auto"/>
              <w:bottom w:val="single" w:sz="12" w:space="0" w:color="auto"/>
            </w:tcBorders>
            <w:shd w:val="clear" w:color="auto" w:fill="auto"/>
          </w:tcPr>
          <w:p w14:paraId="082F8F90"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Percentage (%)</w:t>
            </w:r>
          </w:p>
        </w:tc>
      </w:tr>
      <w:tr w:rsidR="007253CA" w:rsidRPr="00170686" w14:paraId="784D96F9" w14:textId="77777777" w:rsidTr="006E50EF">
        <w:trPr>
          <w:jc w:val="center"/>
        </w:trPr>
        <w:tc>
          <w:tcPr>
            <w:tcW w:w="340" w:type="pct"/>
            <w:tcBorders>
              <w:top w:val="single" w:sz="12" w:space="0" w:color="auto"/>
            </w:tcBorders>
            <w:shd w:val="clear" w:color="auto" w:fill="auto"/>
          </w:tcPr>
          <w:p w14:paraId="48ED9F3A"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1</w:t>
            </w:r>
          </w:p>
        </w:tc>
        <w:tc>
          <w:tcPr>
            <w:tcW w:w="2730" w:type="pct"/>
            <w:tcBorders>
              <w:top w:val="single" w:sz="12" w:space="0" w:color="auto"/>
            </w:tcBorders>
            <w:shd w:val="clear" w:color="auto" w:fill="auto"/>
          </w:tcPr>
          <w:p w14:paraId="5F02472A"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Case Study</w:t>
            </w:r>
          </w:p>
        </w:tc>
        <w:tc>
          <w:tcPr>
            <w:tcW w:w="929" w:type="pct"/>
            <w:tcBorders>
              <w:top w:val="single" w:sz="12" w:space="0" w:color="auto"/>
            </w:tcBorders>
            <w:shd w:val="clear" w:color="auto" w:fill="auto"/>
          </w:tcPr>
          <w:p w14:paraId="757100F4"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21</w:t>
            </w:r>
          </w:p>
        </w:tc>
        <w:tc>
          <w:tcPr>
            <w:tcW w:w="1002" w:type="pct"/>
            <w:tcBorders>
              <w:top w:val="single" w:sz="12" w:space="0" w:color="auto"/>
            </w:tcBorders>
            <w:shd w:val="clear" w:color="auto" w:fill="auto"/>
          </w:tcPr>
          <w:p w14:paraId="0B3E83A9"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43.75</w:t>
            </w:r>
          </w:p>
        </w:tc>
      </w:tr>
      <w:tr w:rsidR="007253CA" w:rsidRPr="00170686" w14:paraId="2B917578" w14:textId="77777777" w:rsidTr="006E50EF">
        <w:trPr>
          <w:jc w:val="center"/>
        </w:trPr>
        <w:tc>
          <w:tcPr>
            <w:tcW w:w="340" w:type="pct"/>
            <w:shd w:val="clear" w:color="auto" w:fill="auto"/>
          </w:tcPr>
          <w:p w14:paraId="53A5D195"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2</w:t>
            </w:r>
          </w:p>
        </w:tc>
        <w:tc>
          <w:tcPr>
            <w:tcW w:w="2730" w:type="pct"/>
            <w:shd w:val="clear" w:color="auto" w:fill="auto"/>
          </w:tcPr>
          <w:p w14:paraId="1B66162D"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Survey Study</w:t>
            </w:r>
          </w:p>
        </w:tc>
        <w:tc>
          <w:tcPr>
            <w:tcW w:w="929" w:type="pct"/>
            <w:shd w:val="clear" w:color="auto" w:fill="auto"/>
          </w:tcPr>
          <w:p w14:paraId="366D760B"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12</w:t>
            </w:r>
          </w:p>
        </w:tc>
        <w:tc>
          <w:tcPr>
            <w:tcW w:w="1002" w:type="pct"/>
            <w:shd w:val="clear" w:color="auto" w:fill="auto"/>
          </w:tcPr>
          <w:p w14:paraId="20565898"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25</w:t>
            </w:r>
          </w:p>
        </w:tc>
      </w:tr>
      <w:tr w:rsidR="007253CA" w:rsidRPr="00170686" w14:paraId="21018756" w14:textId="77777777" w:rsidTr="006E50EF">
        <w:trPr>
          <w:jc w:val="center"/>
        </w:trPr>
        <w:tc>
          <w:tcPr>
            <w:tcW w:w="340" w:type="pct"/>
            <w:shd w:val="clear" w:color="auto" w:fill="auto"/>
          </w:tcPr>
          <w:p w14:paraId="0654438E"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3</w:t>
            </w:r>
          </w:p>
        </w:tc>
        <w:tc>
          <w:tcPr>
            <w:tcW w:w="2730" w:type="pct"/>
            <w:shd w:val="clear" w:color="auto" w:fill="auto"/>
          </w:tcPr>
          <w:p w14:paraId="69B05295"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 xml:space="preserve">Critical Discourse/Content Analysis </w:t>
            </w:r>
          </w:p>
        </w:tc>
        <w:tc>
          <w:tcPr>
            <w:tcW w:w="929" w:type="pct"/>
            <w:shd w:val="clear" w:color="auto" w:fill="auto"/>
          </w:tcPr>
          <w:p w14:paraId="2C5D2095"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8</w:t>
            </w:r>
          </w:p>
        </w:tc>
        <w:tc>
          <w:tcPr>
            <w:tcW w:w="1002" w:type="pct"/>
            <w:shd w:val="clear" w:color="auto" w:fill="auto"/>
          </w:tcPr>
          <w:p w14:paraId="0BB7B0AD"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16.66</w:t>
            </w:r>
          </w:p>
        </w:tc>
      </w:tr>
      <w:tr w:rsidR="007253CA" w:rsidRPr="00170686" w14:paraId="4D462913" w14:textId="77777777" w:rsidTr="006E50EF">
        <w:trPr>
          <w:jc w:val="center"/>
        </w:trPr>
        <w:tc>
          <w:tcPr>
            <w:tcW w:w="340" w:type="pct"/>
            <w:tcBorders>
              <w:bottom w:val="single" w:sz="12" w:space="0" w:color="auto"/>
            </w:tcBorders>
            <w:shd w:val="clear" w:color="auto" w:fill="auto"/>
          </w:tcPr>
          <w:p w14:paraId="52B1A158"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4</w:t>
            </w:r>
          </w:p>
        </w:tc>
        <w:tc>
          <w:tcPr>
            <w:tcW w:w="2730" w:type="pct"/>
            <w:tcBorders>
              <w:bottom w:val="single" w:sz="12" w:space="0" w:color="auto"/>
            </w:tcBorders>
            <w:shd w:val="clear" w:color="auto" w:fill="auto"/>
          </w:tcPr>
          <w:p w14:paraId="0387822B"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Mixed Method (Qualitative and Quantitative)</w:t>
            </w:r>
          </w:p>
        </w:tc>
        <w:tc>
          <w:tcPr>
            <w:tcW w:w="929" w:type="pct"/>
            <w:tcBorders>
              <w:bottom w:val="single" w:sz="12" w:space="0" w:color="auto"/>
            </w:tcBorders>
            <w:shd w:val="clear" w:color="auto" w:fill="auto"/>
          </w:tcPr>
          <w:p w14:paraId="00994CE5"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7</w:t>
            </w:r>
          </w:p>
        </w:tc>
        <w:tc>
          <w:tcPr>
            <w:tcW w:w="1002" w:type="pct"/>
            <w:tcBorders>
              <w:bottom w:val="single" w:sz="12" w:space="0" w:color="auto"/>
            </w:tcBorders>
            <w:shd w:val="clear" w:color="auto" w:fill="auto"/>
          </w:tcPr>
          <w:p w14:paraId="1427932F" w14:textId="77777777" w:rsidR="007253CA" w:rsidRPr="00170686" w:rsidRDefault="007253CA" w:rsidP="00170686">
            <w:pPr>
              <w:jc w:val="center"/>
              <w:rPr>
                <w:rFonts w:cs="Arial"/>
                <w:sz w:val="22"/>
                <w:szCs w:val="22"/>
                <w:lang w:val="en-MY" w:eastAsia="en-US" w:bidi="fa-IR"/>
              </w:rPr>
            </w:pPr>
            <w:r w:rsidRPr="00170686">
              <w:rPr>
                <w:rFonts w:cs="Arial"/>
                <w:sz w:val="22"/>
                <w:szCs w:val="22"/>
                <w:lang w:val="en-MY" w:eastAsia="en-US" w:bidi="fa-IR"/>
              </w:rPr>
              <w:t>14.58</w:t>
            </w:r>
          </w:p>
        </w:tc>
      </w:tr>
    </w:tbl>
    <w:p w14:paraId="6F55C709" w14:textId="1B671C95" w:rsidR="0002491C" w:rsidRDefault="007253CA" w:rsidP="005E1CF5">
      <w:pPr>
        <w:pStyle w:val="Podtitul"/>
        <w:spacing w:before="240"/>
        <w:ind w:firstLine="709"/>
        <w:jc w:val="both"/>
        <w:rPr>
          <w:b w:val="0"/>
          <w:bCs w:val="0"/>
          <w:lang w:val="en-GB"/>
        </w:rPr>
      </w:pPr>
      <w:r w:rsidRPr="007253CA">
        <w:rPr>
          <w:b w:val="0"/>
          <w:bCs w:val="0"/>
          <w:lang w:val="en-GB"/>
        </w:rPr>
        <w:t xml:space="preserve">Based on the findings, another research method that was frequently used in research on the </w:t>
      </w:r>
      <w:proofErr w:type="spellStart"/>
      <w:r w:rsidRPr="007253CA">
        <w:rPr>
          <w:b w:val="0"/>
          <w:bCs w:val="0"/>
          <w:lang w:val="en-GB"/>
        </w:rPr>
        <w:t>S</w:t>
      </w:r>
      <w:r w:rsidR="003748BF">
        <w:rPr>
          <w:b w:val="0"/>
          <w:bCs w:val="0"/>
          <w:lang w:val="en-GB"/>
        </w:rPr>
        <w:t>o</w:t>
      </w:r>
      <w:r w:rsidRPr="007253CA">
        <w:rPr>
          <w:b w:val="0"/>
          <w:bCs w:val="0"/>
          <w:lang w:val="en-GB"/>
        </w:rPr>
        <w:t>T</w:t>
      </w:r>
      <w:proofErr w:type="spellEnd"/>
      <w:r w:rsidRPr="007253CA">
        <w:rPr>
          <w:b w:val="0"/>
          <w:bCs w:val="0"/>
          <w:lang w:val="en-GB"/>
        </w:rPr>
        <w:t xml:space="preserve"> was the survey study, which was indicative of the growing importance of participant-oriented research methodology. Interestingly, most of the mixed method studies were based on a combination of case study and survey study methods.</w:t>
      </w:r>
    </w:p>
    <w:p w14:paraId="48C18839" w14:textId="047DD328" w:rsidR="005B5399" w:rsidRDefault="00645B1B" w:rsidP="00576A9B">
      <w:pPr>
        <w:pStyle w:val="Podtitul"/>
        <w:keepLines/>
        <w:ind w:firstLine="709"/>
        <w:jc w:val="both"/>
        <w:rPr>
          <w:b w:val="0"/>
          <w:bCs w:val="0"/>
          <w:lang w:val="en-GB"/>
        </w:rPr>
      </w:pPr>
      <w:r w:rsidRPr="0002491C">
        <w:rPr>
          <w:b w:val="0"/>
          <w:bCs w:val="0"/>
          <w:noProof/>
          <w:lang w:val="sk-SK" w:eastAsia="sk-SK"/>
        </w:rPr>
        <w:lastRenderedPageBreak/>
        <w:drawing>
          <wp:anchor distT="0" distB="107950" distL="114300" distR="114300" simplePos="0" relativeHeight="251659264" behindDoc="0" locked="0" layoutInCell="1" allowOverlap="1" wp14:anchorId="45064364" wp14:editId="4064FFFB">
            <wp:simplePos x="0" y="0"/>
            <wp:positionH relativeFrom="margin">
              <wp:align>center</wp:align>
            </wp:positionH>
            <wp:positionV relativeFrom="paragraph">
              <wp:posOffset>2166620</wp:posOffset>
            </wp:positionV>
            <wp:extent cx="4557395" cy="3437890"/>
            <wp:effectExtent l="0" t="0" r="0" b="0"/>
            <wp:wrapTopAndBottom/>
            <wp:docPr id="2"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7395" cy="343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91C" w:rsidRPr="0002491C">
        <w:rPr>
          <w:b w:val="0"/>
          <w:bCs w:val="0"/>
          <w:lang w:val="en-GB"/>
        </w:rPr>
        <w:t xml:space="preserve">The fourth and final research question explored the universities and the disciplines, which had the highest number of studies conducted on the </w:t>
      </w:r>
      <w:proofErr w:type="spellStart"/>
      <w:r w:rsidR="0002491C" w:rsidRPr="0002491C">
        <w:rPr>
          <w:b w:val="0"/>
          <w:bCs w:val="0"/>
          <w:lang w:val="en-GB"/>
        </w:rPr>
        <w:t>S</w:t>
      </w:r>
      <w:r w:rsidR="003748BF">
        <w:rPr>
          <w:b w:val="0"/>
          <w:bCs w:val="0"/>
          <w:lang w:val="en-GB"/>
        </w:rPr>
        <w:t>o</w:t>
      </w:r>
      <w:r w:rsidR="0002491C" w:rsidRPr="0002491C">
        <w:rPr>
          <w:b w:val="0"/>
          <w:bCs w:val="0"/>
          <w:lang w:val="en-GB"/>
        </w:rPr>
        <w:t>T</w:t>
      </w:r>
      <w:proofErr w:type="spellEnd"/>
      <w:r w:rsidR="0002491C" w:rsidRPr="0002491C">
        <w:rPr>
          <w:b w:val="0"/>
          <w:bCs w:val="0"/>
          <w:lang w:val="en-GB"/>
        </w:rPr>
        <w:t xml:space="preserve"> at postgraduate level in Iran. Figure 2 illustrates 13 Iranian universities, where postgraduate studies on the </w:t>
      </w:r>
      <w:proofErr w:type="spellStart"/>
      <w:r w:rsidR="0002491C" w:rsidRPr="0002491C">
        <w:rPr>
          <w:b w:val="0"/>
          <w:bCs w:val="0"/>
          <w:lang w:val="en-GB"/>
        </w:rPr>
        <w:t>S</w:t>
      </w:r>
      <w:r w:rsidR="003748BF">
        <w:rPr>
          <w:b w:val="0"/>
          <w:bCs w:val="0"/>
          <w:lang w:val="en-GB"/>
        </w:rPr>
        <w:t>o</w:t>
      </w:r>
      <w:r w:rsidR="0002491C" w:rsidRPr="0002491C">
        <w:rPr>
          <w:b w:val="0"/>
          <w:bCs w:val="0"/>
          <w:lang w:val="en-GB"/>
        </w:rPr>
        <w:t>T</w:t>
      </w:r>
      <w:proofErr w:type="spellEnd"/>
      <w:r w:rsidR="0002491C" w:rsidRPr="0002491C">
        <w:rPr>
          <w:b w:val="0"/>
          <w:bCs w:val="0"/>
          <w:lang w:val="en-GB"/>
        </w:rPr>
        <w:t xml:space="preserve"> were conducted between 2009</w:t>
      </w:r>
      <w:r w:rsidR="00D13887">
        <w:rPr>
          <w:b w:val="0"/>
          <w:bCs w:val="0"/>
          <w:lang w:val="en-GB"/>
        </w:rPr>
        <w:t xml:space="preserve"> and </w:t>
      </w:r>
      <w:r w:rsidR="0002491C" w:rsidRPr="0002491C">
        <w:rPr>
          <w:b w:val="0"/>
          <w:bCs w:val="0"/>
          <w:lang w:val="en-GB"/>
        </w:rPr>
        <w:t xml:space="preserve">2022. With 20 studies, </w:t>
      </w:r>
      <w:proofErr w:type="spellStart"/>
      <w:r w:rsidR="0002491C" w:rsidRPr="0002491C">
        <w:rPr>
          <w:b w:val="0"/>
          <w:bCs w:val="0"/>
          <w:lang w:val="en-GB"/>
        </w:rPr>
        <w:t>Allameh</w:t>
      </w:r>
      <w:proofErr w:type="spellEnd"/>
      <w:r w:rsidR="0002491C" w:rsidRPr="0002491C">
        <w:rPr>
          <w:b w:val="0"/>
          <w:bCs w:val="0"/>
          <w:lang w:val="en-GB"/>
        </w:rPr>
        <w:t xml:space="preserve"> </w:t>
      </w:r>
      <w:proofErr w:type="spellStart"/>
      <w:r w:rsidR="0002491C" w:rsidRPr="0002491C">
        <w:rPr>
          <w:b w:val="0"/>
          <w:bCs w:val="0"/>
          <w:lang w:val="en-GB"/>
        </w:rPr>
        <w:t>Tabataba’i</w:t>
      </w:r>
      <w:proofErr w:type="spellEnd"/>
      <w:r w:rsidR="0002491C" w:rsidRPr="0002491C">
        <w:rPr>
          <w:b w:val="0"/>
          <w:bCs w:val="0"/>
          <w:lang w:val="en-GB"/>
        </w:rPr>
        <w:t xml:space="preserve"> University set the record of the highest number of postgraduate studies on the </w:t>
      </w:r>
      <w:proofErr w:type="spellStart"/>
      <w:r w:rsidR="0002491C" w:rsidRPr="0002491C">
        <w:rPr>
          <w:b w:val="0"/>
          <w:bCs w:val="0"/>
          <w:lang w:val="en-GB"/>
        </w:rPr>
        <w:t>S</w:t>
      </w:r>
      <w:r w:rsidR="003748BF">
        <w:rPr>
          <w:b w:val="0"/>
          <w:bCs w:val="0"/>
          <w:lang w:val="en-GB"/>
        </w:rPr>
        <w:t>o</w:t>
      </w:r>
      <w:r w:rsidR="0002491C" w:rsidRPr="0002491C">
        <w:rPr>
          <w:b w:val="0"/>
          <w:bCs w:val="0"/>
          <w:lang w:val="en-GB"/>
        </w:rPr>
        <w:t>T</w:t>
      </w:r>
      <w:proofErr w:type="spellEnd"/>
      <w:r w:rsidR="0002491C" w:rsidRPr="0002491C">
        <w:rPr>
          <w:b w:val="0"/>
          <w:bCs w:val="0"/>
          <w:lang w:val="en-GB"/>
        </w:rPr>
        <w:t xml:space="preserve"> in Iran. The university’s location is in the capital, Tehran, and it is the leading centre for translation research in Iran with some academics speciali</w:t>
      </w:r>
      <w:r w:rsidR="00A43D37">
        <w:rPr>
          <w:b w:val="0"/>
          <w:bCs w:val="0"/>
          <w:lang w:val="en-GB"/>
        </w:rPr>
        <w:t>s</w:t>
      </w:r>
      <w:r w:rsidR="0002491C" w:rsidRPr="0002491C">
        <w:rPr>
          <w:b w:val="0"/>
          <w:bCs w:val="0"/>
          <w:lang w:val="en-GB"/>
        </w:rPr>
        <w:t xml:space="preserve">ed in the </w:t>
      </w:r>
      <w:proofErr w:type="spellStart"/>
      <w:r w:rsidR="0002491C" w:rsidRPr="0002491C">
        <w:rPr>
          <w:b w:val="0"/>
          <w:bCs w:val="0"/>
          <w:lang w:val="en-GB"/>
        </w:rPr>
        <w:t>S</w:t>
      </w:r>
      <w:r w:rsidR="003748BF">
        <w:rPr>
          <w:b w:val="0"/>
          <w:bCs w:val="0"/>
          <w:lang w:val="en-GB"/>
        </w:rPr>
        <w:t>o</w:t>
      </w:r>
      <w:r w:rsidR="0002491C" w:rsidRPr="0002491C">
        <w:rPr>
          <w:b w:val="0"/>
          <w:bCs w:val="0"/>
          <w:lang w:val="en-GB"/>
        </w:rPr>
        <w:t>T</w:t>
      </w:r>
      <w:proofErr w:type="spellEnd"/>
      <w:r w:rsidR="0002491C" w:rsidRPr="0002491C">
        <w:rPr>
          <w:b w:val="0"/>
          <w:bCs w:val="0"/>
          <w:lang w:val="en-GB"/>
        </w:rPr>
        <w:t xml:space="preserve">. The university offers both MA and PhD </w:t>
      </w:r>
      <w:r w:rsidR="008B6FF7">
        <w:rPr>
          <w:b w:val="0"/>
          <w:bCs w:val="0"/>
          <w:lang w:val="en-GB"/>
        </w:rPr>
        <w:t>programme</w:t>
      </w:r>
      <w:r w:rsidR="0002491C" w:rsidRPr="0002491C">
        <w:rPr>
          <w:b w:val="0"/>
          <w:bCs w:val="0"/>
          <w:lang w:val="en-GB"/>
        </w:rPr>
        <w:t xml:space="preserve">s in </w:t>
      </w:r>
      <w:r w:rsidR="00841890" w:rsidRPr="0002491C">
        <w:rPr>
          <w:b w:val="0"/>
          <w:bCs w:val="0"/>
          <w:lang w:val="en-GB"/>
        </w:rPr>
        <w:t>translation,</w:t>
      </w:r>
      <w:r w:rsidR="0002491C" w:rsidRPr="0002491C">
        <w:rPr>
          <w:b w:val="0"/>
          <w:bCs w:val="0"/>
          <w:lang w:val="en-GB"/>
        </w:rPr>
        <w:t xml:space="preserve"> and it can be regarded as the hub of sociological research on translation in Iran. The next university on the chart is Ferdowsi University of Mashhad with </w:t>
      </w:r>
      <w:r w:rsidR="00921FC3">
        <w:rPr>
          <w:b w:val="0"/>
          <w:bCs w:val="0"/>
          <w:lang w:val="en-GB"/>
        </w:rPr>
        <w:t>six</w:t>
      </w:r>
      <w:r w:rsidR="0002491C" w:rsidRPr="0002491C">
        <w:rPr>
          <w:b w:val="0"/>
          <w:bCs w:val="0"/>
          <w:lang w:val="en-GB"/>
        </w:rPr>
        <w:t xml:space="preserve"> studies. Located in the northeast of Iran, the university offers both MA and Ph</w:t>
      </w:r>
      <w:r w:rsidR="00BC613E">
        <w:rPr>
          <w:b w:val="0"/>
          <w:bCs w:val="0"/>
          <w:lang w:val="en-GB"/>
        </w:rPr>
        <w:t>D</w:t>
      </w:r>
      <w:r w:rsidR="0002491C" w:rsidRPr="0002491C">
        <w:rPr>
          <w:b w:val="0"/>
          <w:bCs w:val="0"/>
          <w:lang w:val="en-GB"/>
        </w:rPr>
        <w:t xml:space="preserve"> </w:t>
      </w:r>
      <w:r w:rsidR="008B6FF7">
        <w:rPr>
          <w:b w:val="0"/>
          <w:bCs w:val="0"/>
          <w:lang w:val="en-GB"/>
        </w:rPr>
        <w:t>programme</w:t>
      </w:r>
      <w:r w:rsidR="0002491C" w:rsidRPr="0002491C">
        <w:rPr>
          <w:b w:val="0"/>
          <w:bCs w:val="0"/>
          <w:lang w:val="en-GB"/>
        </w:rPr>
        <w:t xml:space="preserve">s and together with </w:t>
      </w:r>
      <w:proofErr w:type="spellStart"/>
      <w:r w:rsidR="0002491C" w:rsidRPr="0002491C">
        <w:rPr>
          <w:b w:val="0"/>
          <w:bCs w:val="0"/>
          <w:lang w:val="en-GB"/>
        </w:rPr>
        <w:t>Allameh</w:t>
      </w:r>
      <w:proofErr w:type="spellEnd"/>
      <w:r w:rsidR="0002491C" w:rsidRPr="0002491C">
        <w:rPr>
          <w:b w:val="0"/>
          <w:bCs w:val="0"/>
          <w:lang w:val="en-GB"/>
        </w:rPr>
        <w:t xml:space="preserve"> </w:t>
      </w:r>
      <w:proofErr w:type="spellStart"/>
      <w:r w:rsidR="0002491C" w:rsidRPr="0002491C">
        <w:rPr>
          <w:b w:val="0"/>
          <w:bCs w:val="0"/>
          <w:lang w:val="en-GB"/>
        </w:rPr>
        <w:t>Tabataba’i</w:t>
      </w:r>
      <w:proofErr w:type="spellEnd"/>
      <w:r w:rsidR="0002491C" w:rsidRPr="0002491C">
        <w:rPr>
          <w:b w:val="0"/>
          <w:bCs w:val="0"/>
          <w:lang w:val="en-GB"/>
        </w:rPr>
        <w:t xml:space="preserve"> University, they conducted more than half of all studies on the </w:t>
      </w:r>
      <w:proofErr w:type="spellStart"/>
      <w:r w:rsidR="0002491C" w:rsidRPr="0002491C">
        <w:rPr>
          <w:b w:val="0"/>
          <w:bCs w:val="0"/>
          <w:lang w:val="en-GB"/>
        </w:rPr>
        <w:t>S</w:t>
      </w:r>
      <w:r w:rsidR="003748BF">
        <w:rPr>
          <w:b w:val="0"/>
          <w:bCs w:val="0"/>
          <w:lang w:val="en-GB"/>
        </w:rPr>
        <w:t>o</w:t>
      </w:r>
      <w:r w:rsidR="0002491C" w:rsidRPr="0002491C">
        <w:rPr>
          <w:b w:val="0"/>
          <w:bCs w:val="0"/>
          <w:lang w:val="en-GB"/>
        </w:rPr>
        <w:t>T</w:t>
      </w:r>
      <w:proofErr w:type="spellEnd"/>
      <w:r w:rsidR="0002491C" w:rsidRPr="0002491C">
        <w:rPr>
          <w:b w:val="0"/>
          <w:bCs w:val="0"/>
          <w:lang w:val="en-GB"/>
        </w:rPr>
        <w:t xml:space="preserve"> in Iran.</w:t>
      </w:r>
    </w:p>
    <w:p w14:paraId="6A2FA71F" w14:textId="2920D716" w:rsidR="00273054" w:rsidRPr="00273054" w:rsidRDefault="00273054" w:rsidP="00930146">
      <w:pPr>
        <w:pStyle w:val="Podtitul"/>
        <w:spacing w:before="160" w:after="120"/>
        <w:jc w:val="left"/>
        <w:rPr>
          <w:b w:val="0"/>
          <w:bCs w:val="0"/>
          <w:lang w:val="en-GB"/>
        </w:rPr>
      </w:pPr>
      <w:r w:rsidRPr="00576A9B">
        <w:rPr>
          <w:b w:val="0"/>
          <w:bCs w:val="0"/>
          <w:lang w:val="en-GB"/>
        </w:rPr>
        <w:t>Figure</w:t>
      </w:r>
      <w:r w:rsidRPr="00273054">
        <w:rPr>
          <w:b w:val="0"/>
          <w:bCs w:val="0"/>
          <w:lang w:val="en-GB"/>
        </w:rPr>
        <w:t xml:space="preserve"> 2</w:t>
      </w:r>
      <w:r>
        <w:rPr>
          <w:b w:val="0"/>
          <w:bCs w:val="0"/>
          <w:lang w:val="en-GB"/>
        </w:rPr>
        <w:t>:</w:t>
      </w:r>
      <w:r w:rsidRPr="00273054">
        <w:rPr>
          <w:b w:val="0"/>
          <w:bCs w:val="0"/>
          <w:lang w:val="en-GB"/>
        </w:rPr>
        <w:t xml:space="preserve"> Number of postgraduate studies on the </w:t>
      </w:r>
      <w:proofErr w:type="spellStart"/>
      <w:r w:rsidRPr="00273054">
        <w:rPr>
          <w:b w:val="0"/>
          <w:bCs w:val="0"/>
          <w:lang w:val="en-GB"/>
        </w:rPr>
        <w:t>SoT</w:t>
      </w:r>
      <w:proofErr w:type="spellEnd"/>
      <w:r w:rsidRPr="00273054">
        <w:rPr>
          <w:b w:val="0"/>
          <w:bCs w:val="0"/>
          <w:lang w:val="en-GB"/>
        </w:rPr>
        <w:t xml:space="preserve"> at Iranian universities (2009</w:t>
      </w:r>
      <w:r w:rsidR="00123570">
        <w:rPr>
          <w:b w:val="0"/>
          <w:bCs w:val="0"/>
          <w:lang w:val="en-GB"/>
        </w:rPr>
        <w:t>–</w:t>
      </w:r>
      <w:r w:rsidRPr="00273054">
        <w:rPr>
          <w:b w:val="0"/>
          <w:bCs w:val="0"/>
          <w:lang w:val="en-GB"/>
        </w:rPr>
        <w:t>2022)</w:t>
      </w:r>
    </w:p>
    <w:p w14:paraId="64889D38" w14:textId="6C74E58F" w:rsidR="00576A9B" w:rsidRDefault="00AC2CA6" w:rsidP="00DA5A95">
      <w:pPr>
        <w:pStyle w:val="Podtitul"/>
        <w:keepLines/>
        <w:ind w:firstLine="709"/>
        <w:jc w:val="both"/>
        <w:rPr>
          <w:b w:val="0"/>
          <w:bCs w:val="0"/>
          <w:lang w:val="en-GB"/>
        </w:rPr>
      </w:pPr>
      <w:r w:rsidRPr="00AC2CA6">
        <w:rPr>
          <w:b w:val="0"/>
          <w:bCs w:val="0"/>
          <w:lang w:val="en-GB"/>
        </w:rPr>
        <w:t xml:space="preserve">Figure 3 depicts the </w:t>
      </w:r>
      <w:r w:rsidR="00AA048C">
        <w:rPr>
          <w:b w:val="0"/>
          <w:bCs w:val="0"/>
          <w:lang w:val="en-GB"/>
        </w:rPr>
        <w:t>percentages</w:t>
      </w:r>
      <w:r w:rsidRPr="00AC2CA6">
        <w:rPr>
          <w:b w:val="0"/>
          <w:bCs w:val="0"/>
          <w:lang w:val="en-GB"/>
        </w:rPr>
        <w:t xml:space="preserve"> </w:t>
      </w:r>
      <w:r w:rsidR="00AA048C">
        <w:rPr>
          <w:b w:val="0"/>
          <w:bCs w:val="0"/>
          <w:lang w:val="en-GB"/>
        </w:rPr>
        <w:t>for</w:t>
      </w:r>
      <w:r w:rsidRPr="00AC2CA6">
        <w:rPr>
          <w:b w:val="0"/>
          <w:bCs w:val="0"/>
          <w:lang w:val="en-GB"/>
        </w:rPr>
        <w:t xml:space="preserve"> the disciplines in which the researchers carried out postgraduate studies on the </w:t>
      </w:r>
      <w:proofErr w:type="spellStart"/>
      <w:r w:rsidRPr="00AC2CA6">
        <w:rPr>
          <w:b w:val="0"/>
          <w:bCs w:val="0"/>
          <w:lang w:val="en-GB"/>
        </w:rPr>
        <w:t>S</w:t>
      </w:r>
      <w:r w:rsidR="003748BF">
        <w:rPr>
          <w:b w:val="0"/>
          <w:bCs w:val="0"/>
          <w:lang w:val="en-GB"/>
        </w:rPr>
        <w:t>o</w:t>
      </w:r>
      <w:r w:rsidRPr="00AC2CA6">
        <w:rPr>
          <w:b w:val="0"/>
          <w:bCs w:val="0"/>
          <w:lang w:val="en-GB"/>
        </w:rPr>
        <w:t>T</w:t>
      </w:r>
      <w:proofErr w:type="spellEnd"/>
      <w:r w:rsidRPr="00AC2CA6">
        <w:rPr>
          <w:b w:val="0"/>
          <w:bCs w:val="0"/>
          <w:lang w:val="en-GB"/>
        </w:rPr>
        <w:t xml:space="preserve"> in Iran. Ninety two percent of the studies were conducted by translation students and the rest (8</w:t>
      </w:r>
      <w:r w:rsidR="00D13887">
        <w:rPr>
          <w:b w:val="0"/>
          <w:bCs w:val="0"/>
          <w:lang w:val="en-GB"/>
        </w:rPr>
        <w:t>%</w:t>
      </w:r>
      <w:r w:rsidRPr="00AC2CA6">
        <w:rPr>
          <w:b w:val="0"/>
          <w:bCs w:val="0"/>
          <w:lang w:val="en-GB"/>
        </w:rPr>
        <w:t xml:space="preserve">) were carried out by history students. This denotes that history and historiography are closely related to the </w:t>
      </w:r>
      <w:proofErr w:type="spellStart"/>
      <w:r w:rsidRPr="00AC2CA6">
        <w:rPr>
          <w:b w:val="0"/>
          <w:bCs w:val="0"/>
          <w:lang w:val="en-GB"/>
        </w:rPr>
        <w:t>S</w:t>
      </w:r>
      <w:r w:rsidR="003748BF">
        <w:rPr>
          <w:b w:val="0"/>
          <w:bCs w:val="0"/>
          <w:lang w:val="en-GB"/>
        </w:rPr>
        <w:t>o</w:t>
      </w:r>
      <w:r w:rsidRPr="00AC2CA6">
        <w:rPr>
          <w:b w:val="0"/>
          <w:bCs w:val="0"/>
          <w:lang w:val="en-GB"/>
        </w:rPr>
        <w:t>T</w:t>
      </w:r>
      <w:proofErr w:type="spellEnd"/>
      <w:r w:rsidRPr="00AC2CA6">
        <w:rPr>
          <w:b w:val="0"/>
          <w:bCs w:val="0"/>
          <w:lang w:val="en-GB"/>
        </w:rPr>
        <w:t xml:space="preserve"> and, hence some studies on this subject were carried out at history departments by the students of history.</w:t>
      </w:r>
    </w:p>
    <w:p w14:paraId="38460FE6" w14:textId="36B9C1DE" w:rsidR="00576A9B" w:rsidRPr="00D55BA4" w:rsidRDefault="00576A9B" w:rsidP="00DA5A95">
      <w:pPr>
        <w:pStyle w:val="Podtitul"/>
        <w:keepLines/>
        <w:ind w:firstLine="709"/>
        <w:jc w:val="both"/>
        <w:rPr>
          <w:b w:val="0"/>
          <w:bCs w:val="0"/>
          <w:lang w:val="en-GB"/>
        </w:rPr>
      </w:pPr>
      <w:r w:rsidRPr="00D55BA4">
        <w:rPr>
          <w:b w:val="0"/>
          <w:bCs w:val="0"/>
          <w:lang w:val="en-GB"/>
        </w:rPr>
        <w:t xml:space="preserve">Figure 4 shows years of publication of studies conducted on the </w:t>
      </w:r>
      <w:proofErr w:type="spellStart"/>
      <w:r w:rsidRPr="00D55BA4">
        <w:rPr>
          <w:b w:val="0"/>
          <w:bCs w:val="0"/>
          <w:lang w:val="en-GB"/>
        </w:rPr>
        <w:t>S</w:t>
      </w:r>
      <w:r>
        <w:rPr>
          <w:b w:val="0"/>
          <w:bCs w:val="0"/>
          <w:lang w:val="en-GB"/>
        </w:rPr>
        <w:t>o</w:t>
      </w:r>
      <w:r w:rsidRPr="00D55BA4">
        <w:rPr>
          <w:b w:val="0"/>
          <w:bCs w:val="0"/>
          <w:lang w:val="en-GB"/>
        </w:rPr>
        <w:t>T</w:t>
      </w:r>
      <w:proofErr w:type="spellEnd"/>
      <w:r w:rsidRPr="00D55BA4">
        <w:rPr>
          <w:b w:val="0"/>
          <w:bCs w:val="0"/>
          <w:lang w:val="en-GB"/>
        </w:rPr>
        <w:t xml:space="preserve"> at Iranian universities (2009</w:t>
      </w:r>
      <w:r>
        <w:rPr>
          <w:b w:val="0"/>
          <w:bCs w:val="0"/>
          <w:lang w:val="en-GB"/>
        </w:rPr>
        <w:t>–</w:t>
      </w:r>
      <w:r w:rsidRPr="00D55BA4">
        <w:rPr>
          <w:b w:val="0"/>
          <w:bCs w:val="0"/>
          <w:lang w:val="en-GB"/>
        </w:rPr>
        <w:t>2022). Based on the information demonstrated on the chart, there is one peak in the year 2019. While the general trend seems to be rather constant during the decade of 2009</w:t>
      </w:r>
      <w:r w:rsidR="00921FC3">
        <w:rPr>
          <w:b w:val="0"/>
          <w:bCs w:val="0"/>
          <w:lang w:val="en-GB"/>
        </w:rPr>
        <w:t>–</w:t>
      </w:r>
      <w:r w:rsidRPr="00D55BA4">
        <w:rPr>
          <w:b w:val="0"/>
          <w:bCs w:val="0"/>
          <w:lang w:val="en-GB"/>
        </w:rPr>
        <w:t xml:space="preserve">2018 (on average two studies per year), the sharp increase in the number of studies in 2019 could be due to the graduation of the first wave of PhD students who had enrolled in 2014. Most of these graduates studied at </w:t>
      </w:r>
      <w:proofErr w:type="spellStart"/>
      <w:r w:rsidRPr="00D55BA4">
        <w:rPr>
          <w:b w:val="0"/>
          <w:bCs w:val="0"/>
          <w:lang w:val="en-GB"/>
        </w:rPr>
        <w:t>Allameh</w:t>
      </w:r>
      <w:proofErr w:type="spellEnd"/>
      <w:r w:rsidRPr="00D55BA4">
        <w:rPr>
          <w:b w:val="0"/>
          <w:bCs w:val="0"/>
          <w:lang w:val="en-GB"/>
        </w:rPr>
        <w:t xml:space="preserve"> </w:t>
      </w:r>
      <w:proofErr w:type="spellStart"/>
      <w:r w:rsidRPr="00D55BA4">
        <w:rPr>
          <w:b w:val="0"/>
          <w:bCs w:val="0"/>
          <w:lang w:val="en-GB"/>
        </w:rPr>
        <w:t>Tabataba’i</w:t>
      </w:r>
      <w:proofErr w:type="spellEnd"/>
      <w:r w:rsidRPr="00D55BA4">
        <w:rPr>
          <w:b w:val="0"/>
          <w:bCs w:val="0"/>
          <w:lang w:val="en-GB"/>
        </w:rPr>
        <w:t xml:space="preserve"> University and Ferdowsi University of Mashhad.</w:t>
      </w:r>
    </w:p>
    <w:p w14:paraId="330E3623" w14:textId="40DFFAC8" w:rsidR="00273054" w:rsidRPr="00273054" w:rsidRDefault="00576A9B" w:rsidP="00930146">
      <w:pPr>
        <w:pStyle w:val="Podtitul"/>
        <w:spacing w:before="160" w:after="120"/>
        <w:jc w:val="left"/>
        <w:rPr>
          <w:b w:val="0"/>
          <w:bCs w:val="0"/>
          <w:lang w:val="en-GB"/>
        </w:rPr>
      </w:pPr>
      <w:r w:rsidRPr="00AC2CA6">
        <w:rPr>
          <w:b w:val="0"/>
          <w:bCs w:val="0"/>
          <w:noProof/>
          <w:lang w:val="sk-SK" w:eastAsia="sk-SK"/>
        </w:rPr>
        <w:lastRenderedPageBreak/>
        <w:drawing>
          <wp:anchor distT="0" distB="107950" distL="114300" distR="114300" simplePos="0" relativeHeight="251660288" behindDoc="0" locked="0" layoutInCell="1" allowOverlap="1" wp14:anchorId="61DD38BE" wp14:editId="4784F183">
            <wp:simplePos x="0" y="0"/>
            <wp:positionH relativeFrom="margin">
              <wp:align>center</wp:align>
            </wp:positionH>
            <wp:positionV relativeFrom="paragraph">
              <wp:posOffset>3175</wp:posOffset>
            </wp:positionV>
            <wp:extent cx="3704400" cy="2217600"/>
            <wp:effectExtent l="0" t="0" r="0" b="0"/>
            <wp:wrapTopAndBottom/>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4400" cy="221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3054" w:rsidRPr="00576A9B">
        <w:rPr>
          <w:b w:val="0"/>
          <w:bCs w:val="0"/>
          <w:lang w:val="en-GB"/>
        </w:rPr>
        <w:t>Figure</w:t>
      </w:r>
      <w:r w:rsidR="00273054" w:rsidRPr="00273054">
        <w:rPr>
          <w:b w:val="0"/>
          <w:bCs w:val="0"/>
          <w:lang w:val="en-GB"/>
        </w:rPr>
        <w:t xml:space="preserve"> 3</w:t>
      </w:r>
      <w:r w:rsidR="00273054">
        <w:rPr>
          <w:b w:val="0"/>
          <w:bCs w:val="0"/>
          <w:lang w:val="en-GB"/>
        </w:rPr>
        <w:t>:</w:t>
      </w:r>
      <w:r w:rsidR="00273054" w:rsidRPr="00273054">
        <w:rPr>
          <w:b w:val="0"/>
          <w:bCs w:val="0"/>
          <w:lang w:val="en-GB"/>
        </w:rPr>
        <w:t xml:space="preserve"> Percentages for disciplines researching the </w:t>
      </w:r>
      <w:proofErr w:type="spellStart"/>
      <w:r w:rsidR="00273054" w:rsidRPr="00273054">
        <w:rPr>
          <w:b w:val="0"/>
          <w:bCs w:val="0"/>
          <w:lang w:val="en-GB"/>
        </w:rPr>
        <w:t>SoT</w:t>
      </w:r>
      <w:proofErr w:type="spellEnd"/>
      <w:r w:rsidR="00273054" w:rsidRPr="00273054">
        <w:rPr>
          <w:b w:val="0"/>
          <w:bCs w:val="0"/>
          <w:lang w:val="en-GB"/>
        </w:rPr>
        <w:t xml:space="preserve"> at Iranian universities (2009</w:t>
      </w:r>
      <w:r w:rsidR="00123570">
        <w:rPr>
          <w:b w:val="0"/>
          <w:bCs w:val="0"/>
          <w:lang w:val="en-GB"/>
        </w:rPr>
        <w:t>–</w:t>
      </w:r>
      <w:r w:rsidR="00273054" w:rsidRPr="00273054">
        <w:rPr>
          <w:b w:val="0"/>
          <w:bCs w:val="0"/>
          <w:lang w:val="en-GB"/>
        </w:rPr>
        <w:t>2022)</w:t>
      </w:r>
    </w:p>
    <w:p w14:paraId="4537AA0A" w14:textId="20C3ED00" w:rsidR="00576A9B" w:rsidRDefault="00576A9B" w:rsidP="00DA5A95">
      <w:pPr>
        <w:pStyle w:val="Podtitul"/>
        <w:jc w:val="both"/>
        <w:rPr>
          <w:b w:val="0"/>
          <w:bCs w:val="0"/>
          <w:lang w:val="en-GB"/>
        </w:rPr>
      </w:pPr>
      <w:r w:rsidRPr="00576A9B">
        <w:rPr>
          <w:b w:val="0"/>
          <w:bCs w:val="0"/>
          <w:noProof/>
          <w:lang w:val="sk-SK" w:eastAsia="sk-SK"/>
        </w:rPr>
        <w:drawing>
          <wp:anchor distT="0" distB="107950" distL="114300" distR="114300" simplePos="0" relativeHeight="251661312" behindDoc="0" locked="0" layoutInCell="1" allowOverlap="1" wp14:anchorId="0FF7C8D6" wp14:editId="7269D642">
            <wp:simplePos x="0" y="0"/>
            <wp:positionH relativeFrom="margin">
              <wp:align>center</wp:align>
            </wp:positionH>
            <wp:positionV relativeFrom="paragraph">
              <wp:posOffset>173990</wp:posOffset>
            </wp:positionV>
            <wp:extent cx="4572000" cy="2743200"/>
            <wp:effectExtent l="0" t="0" r="0" b="0"/>
            <wp:wrapTopAndBottom/>
            <wp:docPr id="4"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201D" w:rsidRPr="00DA5A95">
        <w:rPr>
          <w:b w:val="0"/>
          <w:bCs w:val="0"/>
          <w:lang w:val="en-GB"/>
        </w:rPr>
        <w:t>Figure</w:t>
      </w:r>
      <w:r w:rsidR="0014201D" w:rsidRPr="0014201D">
        <w:rPr>
          <w:b w:val="0"/>
          <w:bCs w:val="0"/>
          <w:lang w:val="en-GB"/>
        </w:rPr>
        <w:t xml:space="preserve"> 4</w:t>
      </w:r>
      <w:r w:rsidR="0014201D">
        <w:rPr>
          <w:b w:val="0"/>
          <w:bCs w:val="0"/>
          <w:lang w:val="en-GB"/>
        </w:rPr>
        <w:t>:</w:t>
      </w:r>
      <w:r w:rsidR="0014201D" w:rsidRPr="0014201D">
        <w:rPr>
          <w:b w:val="0"/>
          <w:bCs w:val="0"/>
          <w:lang w:val="en-GB"/>
        </w:rPr>
        <w:t xml:space="preserve"> Years of publication of studies conducted on the </w:t>
      </w:r>
      <w:proofErr w:type="spellStart"/>
      <w:r w:rsidR="0014201D" w:rsidRPr="0014201D">
        <w:rPr>
          <w:b w:val="0"/>
          <w:bCs w:val="0"/>
          <w:lang w:val="en-GB"/>
        </w:rPr>
        <w:t>SoT</w:t>
      </w:r>
      <w:proofErr w:type="spellEnd"/>
      <w:r w:rsidR="0014201D" w:rsidRPr="0014201D">
        <w:rPr>
          <w:b w:val="0"/>
          <w:bCs w:val="0"/>
          <w:lang w:val="en-GB"/>
        </w:rPr>
        <w:t xml:space="preserve"> at Iranian universities (2009</w:t>
      </w:r>
      <w:r w:rsidR="00123570">
        <w:rPr>
          <w:b w:val="0"/>
          <w:bCs w:val="0"/>
          <w:lang w:val="en-GB"/>
        </w:rPr>
        <w:t>–</w:t>
      </w:r>
      <w:r w:rsidR="0014201D" w:rsidRPr="0014201D">
        <w:rPr>
          <w:b w:val="0"/>
          <w:bCs w:val="0"/>
          <w:lang w:val="en-GB"/>
        </w:rPr>
        <w:t>2022)</w:t>
      </w:r>
    </w:p>
    <w:p w14:paraId="2A40DAAF" w14:textId="5F04B708" w:rsidR="0014201D" w:rsidRPr="001C7998" w:rsidRDefault="00576A9B" w:rsidP="00E02F2B">
      <w:pPr>
        <w:pStyle w:val="Podtitul"/>
        <w:spacing w:before="240"/>
        <w:ind w:firstLine="709"/>
        <w:jc w:val="both"/>
        <w:rPr>
          <w:b w:val="0"/>
          <w:bCs w:val="0"/>
          <w:lang w:val="en-GB"/>
        </w:rPr>
      </w:pPr>
      <w:r w:rsidRPr="00D55BA4">
        <w:rPr>
          <w:b w:val="0"/>
          <w:bCs w:val="0"/>
          <w:lang w:val="en-GB"/>
        </w:rPr>
        <w:t xml:space="preserve">Presumably, the novelty and originality of the topics and areas of research on the </w:t>
      </w:r>
      <w:proofErr w:type="spellStart"/>
      <w:r w:rsidRPr="00D55BA4">
        <w:rPr>
          <w:b w:val="0"/>
          <w:bCs w:val="0"/>
          <w:lang w:val="en-GB"/>
        </w:rPr>
        <w:t>S</w:t>
      </w:r>
      <w:r>
        <w:rPr>
          <w:b w:val="0"/>
          <w:bCs w:val="0"/>
          <w:lang w:val="en-GB"/>
        </w:rPr>
        <w:t>o</w:t>
      </w:r>
      <w:r w:rsidRPr="00D55BA4">
        <w:rPr>
          <w:b w:val="0"/>
          <w:bCs w:val="0"/>
          <w:lang w:val="en-GB"/>
        </w:rPr>
        <w:t>T</w:t>
      </w:r>
      <w:proofErr w:type="spellEnd"/>
      <w:r w:rsidRPr="00D55BA4">
        <w:rPr>
          <w:b w:val="0"/>
          <w:bCs w:val="0"/>
          <w:lang w:val="en-GB"/>
        </w:rPr>
        <w:t xml:space="preserve"> attracted the attention and interest of many PhD students in Iran, explaining the significant increase in the number of studies on the </w:t>
      </w:r>
      <w:proofErr w:type="spellStart"/>
      <w:r w:rsidRPr="00D55BA4">
        <w:rPr>
          <w:b w:val="0"/>
          <w:bCs w:val="0"/>
          <w:lang w:val="en-GB"/>
        </w:rPr>
        <w:t>S</w:t>
      </w:r>
      <w:r>
        <w:rPr>
          <w:b w:val="0"/>
          <w:bCs w:val="0"/>
          <w:lang w:val="en-GB"/>
        </w:rPr>
        <w:t>o</w:t>
      </w:r>
      <w:r w:rsidRPr="00D55BA4">
        <w:rPr>
          <w:b w:val="0"/>
          <w:bCs w:val="0"/>
          <w:lang w:val="en-GB"/>
        </w:rPr>
        <w:t>T</w:t>
      </w:r>
      <w:proofErr w:type="spellEnd"/>
      <w:r w:rsidRPr="00D55BA4">
        <w:rPr>
          <w:b w:val="0"/>
          <w:bCs w:val="0"/>
          <w:lang w:val="en-GB"/>
        </w:rPr>
        <w:t>. However, due to the restrictions imposed after 2019 as a result of the Covid-19 pandemic, which prevented many researchers from collecting data from potential participants and attending contextual translation activities, a sharp decrease can be witnessed from 2020</w:t>
      </w:r>
      <w:r w:rsidR="00921FC3">
        <w:rPr>
          <w:b w:val="0"/>
          <w:bCs w:val="0"/>
          <w:lang w:val="en-GB"/>
        </w:rPr>
        <w:t>–</w:t>
      </w:r>
      <w:r w:rsidRPr="00D55BA4">
        <w:rPr>
          <w:b w:val="0"/>
          <w:bCs w:val="0"/>
          <w:lang w:val="en-GB"/>
        </w:rPr>
        <w:t xml:space="preserve">2022. It is expected that with the lifting of restrictions, the country will experience another boom in the </w:t>
      </w:r>
      <w:proofErr w:type="spellStart"/>
      <w:r w:rsidRPr="00D55BA4">
        <w:rPr>
          <w:b w:val="0"/>
          <w:bCs w:val="0"/>
          <w:lang w:val="en-GB"/>
        </w:rPr>
        <w:t>S</w:t>
      </w:r>
      <w:r>
        <w:rPr>
          <w:b w:val="0"/>
          <w:bCs w:val="0"/>
          <w:lang w:val="en-GB"/>
        </w:rPr>
        <w:t>o</w:t>
      </w:r>
      <w:r w:rsidRPr="00D55BA4">
        <w:rPr>
          <w:b w:val="0"/>
          <w:bCs w:val="0"/>
          <w:lang w:val="en-GB"/>
        </w:rPr>
        <w:t>T</w:t>
      </w:r>
      <w:proofErr w:type="spellEnd"/>
      <w:r w:rsidRPr="00D55BA4">
        <w:rPr>
          <w:b w:val="0"/>
          <w:bCs w:val="0"/>
          <w:lang w:val="en-GB"/>
        </w:rPr>
        <w:t xml:space="preserve"> research from 2023 onwards.</w:t>
      </w:r>
    </w:p>
    <w:p w14:paraId="543F30EF" w14:textId="67945876" w:rsidR="009A7ABC" w:rsidRPr="001C7998" w:rsidRDefault="00733808" w:rsidP="000D2DBE">
      <w:pPr>
        <w:pStyle w:val="Nadpis1"/>
        <w:numPr>
          <w:ilvl w:val="0"/>
          <w:numId w:val="1"/>
        </w:numPr>
        <w:spacing w:before="560" w:after="280"/>
        <w:ind w:left="425" w:hanging="425"/>
      </w:pPr>
      <w:r>
        <w:lastRenderedPageBreak/>
        <w:t>Discussion and c</w:t>
      </w:r>
      <w:r w:rsidR="001B32F0" w:rsidRPr="001B32F0">
        <w:t>onclusion</w:t>
      </w:r>
    </w:p>
    <w:p w14:paraId="17452096" w14:textId="5892F40F" w:rsidR="00AE0EAC" w:rsidRPr="00AE0EAC" w:rsidRDefault="00AE0EAC" w:rsidP="00AE0EAC">
      <w:pPr>
        <w:pStyle w:val="Podtitul"/>
        <w:jc w:val="both"/>
        <w:rPr>
          <w:b w:val="0"/>
          <w:bCs w:val="0"/>
          <w:lang w:val="en-GB"/>
        </w:rPr>
      </w:pPr>
      <w:r w:rsidRPr="00AE0EAC">
        <w:rPr>
          <w:b w:val="0"/>
          <w:bCs w:val="0"/>
          <w:lang w:val="en-GB"/>
        </w:rPr>
        <w:t xml:space="preserve">The current study is an attempt to map postgraduate research trends in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in Iran. To do so, the authors of the study delved into postgraduate research on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which was conducted at Iranian universities within the 14-year period of 2009</w:t>
      </w:r>
      <w:r w:rsidR="00921FC3">
        <w:rPr>
          <w:b w:val="0"/>
          <w:bCs w:val="0"/>
          <w:lang w:val="en-GB"/>
        </w:rPr>
        <w:t>–</w:t>
      </w:r>
      <w:r w:rsidRPr="00AE0EAC">
        <w:rPr>
          <w:b w:val="0"/>
          <w:bCs w:val="0"/>
          <w:lang w:val="en-GB"/>
        </w:rPr>
        <w:t xml:space="preserve">2022. </w:t>
      </w:r>
      <w:r w:rsidR="005F7ECD">
        <w:rPr>
          <w:b w:val="0"/>
          <w:bCs w:val="0"/>
          <w:lang w:val="en-GB"/>
        </w:rPr>
        <w:t>We</w:t>
      </w:r>
      <w:r w:rsidRPr="00AE0EAC">
        <w:rPr>
          <w:b w:val="0"/>
          <w:bCs w:val="0"/>
          <w:lang w:val="en-GB"/>
        </w:rPr>
        <w:t xml:space="preserve"> investigated the areas of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that were studied by postgraduate researchers; the translation theories and models that were adopted by the students; and the research methodologies and methods used in the respective studies. Additionally, contextual information regarding the academic institutions where the studies </w:t>
      </w:r>
      <w:r w:rsidR="004164CA">
        <w:rPr>
          <w:b w:val="0"/>
          <w:bCs w:val="0"/>
          <w:lang w:val="en-GB"/>
        </w:rPr>
        <w:t>had been</w:t>
      </w:r>
      <w:r w:rsidRPr="00AE0EAC">
        <w:rPr>
          <w:b w:val="0"/>
          <w:bCs w:val="0"/>
          <w:lang w:val="en-GB"/>
        </w:rPr>
        <w:t xml:space="preserve"> carried out, was used to interpret the findings. The areas explored in the studies were reported in </w:t>
      </w:r>
      <w:r w:rsidR="00204C9E">
        <w:rPr>
          <w:b w:val="0"/>
          <w:bCs w:val="0"/>
          <w:lang w:val="en-GB"/>
        </w:rPr>
        <w:t>T</w:t>
      </w:r>
      <w:r w:rsidRPr="00AE0EAC">
        <w:rPr>
          <w:b w:val="0"/>
          <w:bCs w:val="0"/>
          <w:lang w:val="en-GB"/>
        </w:rPr>
        <w:t>able 4.</w:t>
      </w:r>
    </w:p>
    <w:p w14:paraId="51FFD336" w14:textId="5DA7A4E3" w:rsidR="00AE0EAC" w:rsidRPr="00AE0EAC" w:rsidRDefault="00AE0EAC" w:rsidP="00AE0EAC">
      <w:pPr>
        <w:pStyle w:val="Podtitul"/>
        <w:ind w:firstLine="708"/>
        <w:jc w:val="both"/>
        <w:rPr>
          <w:b w:val="0"/>
          <w:bCs w:val="0"/>
          <w:lang w:val="en-GB"/>
        </w:rPr>
      </w:pPr>
      <w:r w:rsidRPr="00AE0EAC">
        <w:rPr>
          <w:b w:val="0"/>
          <w:bCs w:val="0"/>
          <w:lang w:val="en-GB"/>
        </w:rPr>
        <w:t xml:space="preserve">The results indicated that </w:t>
      </w:r>
      <w:proofErr w:type="spellStart"/>
      <w:r w:rsidRPr="00AE0EAC">
        <w:rPr>
          <w:b w:val="0"/>
          <w:bCs w:val="0"/>
          <w:lang w:val="en-GB"/>
        </w:rPr>
        <w:t>translatorial</w:t>
      </w:r>
      <w:proofErr w:type="spellEnd"/>
      <w:r w:rsidRPr="00AE0EAC">
        <w:rPr>
          <w:b w:val="0"/>
          <w:bCs w:val="0"/>
          <w:lang w:val="en-GB"/>
        </w:rPr>
        <w:t xml:space="preserve"> issues such as translators</w:t>
      </w:r>
      <w:r w:rsidR="00F84831">
        <w:rPr>
          <w:b w:val="0"/>
          <w:bCs w:val="0"/>
          <w:lang w:val="en-GB"/>
        </w:rPr>
        <w:t>’</w:t>
      </w:r>
      <w:r w:rsidRPr="00AE0EAC">
        <w:rPr>
          <w:b w:val="0"/>
          <w:bCs w:val="0"/>
          <w:lang w:val="en-GB"/>
        </w:rPr>
        <w:t xml:space="preserve"> capital, translators</w:t>
      </w:r>
      <w:r w:rsidR="00F84831">
        <w:rPr>
          <w:b w:val="0"/>
          <w:bCs w:val="0"/>
          <w:lang w:val="en-GB"/>
        </w:rPr>
        <w:t>’</w:t>
      </w:r>
      <w:r w:rsidRPr="00AE0EAC">
        <w:rPr>
          <w:b w:val="0"/>
          <w:bCs w:val="0"/>
          <w:lang w:val="en-GB"/>
        </w:rPr>
        <w:t xml:space="preserve"> habitus, agency, and professionalism were among the most frequently explored </w:t>
      </w:r>
      <w:r w:rsidR="00A14108">
        <w:rPr>
          <w:b w:val="0"/>
          <w:bCs w:val="0"/>
          <w:lang w:val="en-GB"/>
        </w:rPr>
        <w:t>areas</w:t>
      </w:r>
      <w:r w:rsidRPr="00AE0EAC">
        <w:rPr>
          <w:b w:val="0"/>
          <w:bCs w:val="0"/>
          <w:lang w:val="en-GB"/>
        </w:rPr>
        <w:t xml:space="preserve">. While the authors of the present study opted to delimit this research to the postgraduate studies inside Iran, it seems that in terms of area, theory, and methodology, at least some of the recent sociological studies by postgraduate students in Iran were inspired by the influential work of </w:t>
      </w:r>
      <w:proofErr w:type="spellStart"/>
      <w:r w:rsidRPr="00AE0EAC">
        <w:rPr>
          <w:b w:val="0"/>
          <w:bCs w:val="0"/>
          <w:lang w:val="en-GB"/>
        </w:rPr>
        <w:t>Haddadian</w:t>
      </w:r>
      <w:proofErr w:type="spellEnd"/>
      <w:r w:rsidRPr="00AE0EAC">
        <w:rPr>
          <w:b w:val="0"/>
          <w:bCs w:val="0"/>
          <w:lang w:val="en-GB"/>
        </w:rPr>
        <w:t>-Moghaddam (2014) who had investigated agency of translators</w:t>
      </w:r>
      <w:r w:rsidRPr="00BB5503">
        <w:rPr>
          <w:b w:val="0"/>
          <w:bCs w:val="0"/>
          <w:vertAlign w:val="superscript"/>
          <w:lang w:val="en-GB"/>
        </w:rPr>
        <w:t>1</w:t>
      </w:r>
      <w:r w:rsidRPr="00AE0EAC">
        <w:rPr>
          <w:b w:val="0"/>
          <w:bCs w:val="0"/>
          <w:lang w:val="en-GB"/>
        </w:rPr>
        <w:t>.</w:t>
      </w:r>
    </w:p>
    <w:p w14:paraId="5E56ABB6" w14:textId="3DF97A1C" w:rsidR="00AE0EAC" w:rsidRPr="00AE0EAC" w:rsidRDefault="00AE0EAC" w:rsidP="00D364F5">
      <w:pPr>
        <w:pStyle w:val="Podtitul"/>
        <w:ind w:firstLine="708"/>
        <w:jc w:val="both"/>
        <w:rPr>
          <w:b w:val="0"/>
          <w:bCs w:val="0"/>
          <w:lang w:val="en-GB"/>
        </w:rPr>
      </w:pPr>
      <w:r w:rsidRPr="00AE0EAC">
        <w:rPr>
          <w:b w:val="0"/>
          <w:bCs w:val="0"/>
          <w:lang w:val="en-GB"/>
        </w:rPr>
        <w:t xml:space="preserve">A close look at the investigated areas reveals that still many gaps exist in the study of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in Iran that should be filled. For example, the sociology of the translation process is an almost neglected area of research in Iran. Key social factors influencing the translation process such as power </w:t>
      </w:r>
      <w:r w:rsidR="00D364F5">
        <w:rPr>
          <w:b w:val="0"/>
          <w:bCs w:val="0"/>
          <w:lang w:val="en-GB"/>
        </w:rPr>
        <w:t xml:space="preserve">relations, race, ethnicity, </w:t>
      </w:r>
      <w:r w:rsidRPr="00AE0EAC">
        <w:rPr>
          <w:b w:val="0"/>
          <w:bCs w:val="0"/>
          <w:lang w:val="en-GB"/>
        </w:rPr>
        <w:t>class</w:t>
      </w:r>
      <w:r w:rsidR="00D364F5">
        <w:rPr>
          <w:b w:val="0"/>
          <w:bCs w:val="0"/>
          <w:lang w:val="en-GB"/>
        </w:rPr>
        <w:t>, and religion</w:t>
      </w:r>
      <w:r w:rsidRPr="00AE0EAC">
        <w:rPr>
          <w:b w:val="0"/>
          <w:bCs w:val="0"/>
          <w:lang w:val="en-GB"/>
        </w:rPr>
        <w:t xml:space="preserve"> have been totally ignored by the researchers. Additionally, vital agency topics such as translators’ roles in bringing about </w:t>
      </w:r>
      <w:r w:rsidRPr="0027172B">
        <w:rPr>
          <w:b w:val="0"/>
          <w:bCs w:val="0"/>
          <w:lang w:val="en-GB"/>
        </w:rPr>
        <w:t>Iranian nationalism, and in diaspora as well as Iranian translators’ life histories, behaviours, working processes, attitudes and motivations are</w:t>
      </w:r>
      <w:r w:rsidRPr="00AE0EAC">
        <w:rPr>
          <w:b w:val="0"/>
          <w:bCs w:val="0"/>
          <w:lang w:val="en-GB"/>
        </w:rPr>
        <w:t xml:space="preserve"> lacking in the studies. Research on the mentioned areas can shed light on these sociological aspects of translation practice in Iran. Moreover, the less frequently explored </w:t>
      </w:r>
      <w:r w:rsidR="00917DE7">
        <w:rPr>
          <w:b w:val="0"/>
          <w:bCs w:val="0"/>
          <w:lang w:val="en-GB"/>
        </w:rPr>
        <w:t>topics</w:t>
      </w:r>
      <w:r w:rsidRPr="00AE0EAC">
        <w:rPr>
          <w:b w:val="0"/>
          <w:bCs w:val="0"/>
          <w:lang w:val="en-GB"/>
        </w:rPr>
        <w:t xml:space="preserve"> and the unmapped themes can be identified by referring to </w:t>
      </w:r>
      <w:r w:rsidR="007A4C00">
        <w:rPr>
          <w:b w:val="0"/>
          <w:bCs w:val="0"/>
          <w:lang w:val="en-GB"/>
        </w:rPr>
        <w:t>T</w:t>
      </w:r>
      <w:r w:rsidRPr="00AE0EAC">
        <w:rPr>
          <w:b w:val="0"/>
          <w:bCs w:val="0"/>
          <w:lang w:val="en-GB"/>
        </w:rPr>
        <w:t>ables 1 and 4.</w:t>
      </w:r>
    </w:p>
    <w:p w14:paraId="3E0650F0" w14:textId="77777777" w:rsidR="00AE0EAC" w:rsidRPr="00AE0EAC" w:rsidRDefault="00AE0EAC" w:rsidP="00AE0EAC">
      <w:pPr>
        <w:pStyle w:val="Podtitul"/>
        <w:ind w:firstLine="708"/>
        <w:jc w:val="both"/>
        <w:rPr>
          <w:b w:val="0"/>
          <w:bCs w:val="0"/>
          <w:lang w:val="en-GB"/>
        </w:rPr>
      </w:pPr>
      <w:r w:rsidRPr="00AE0EAC">
        <w:rPr>
          <w:b w:val="0"/>
          <w:bCs w:val="0"/>
          <w:lang w:val="en-GB"/>
        </w:rPr>
        <w:t>Another interesting finding of the study was the diversity of translation theories and models that were incorporated into the studies. This should encourage translation researchers to continue the trend by further exploring these and other new theories and models from other disciplines, which entails learning from and collaborating with researchers from other disciplines.</w:t>
      </w:r>
    </w:p>
    <w:p w14:paraId="135BEFA4" w14:textId="391F8F58" w:rsidR="00AE0EAC" w:rsidRPr="00AE0EAC" w:rsidRDefault="00AE0EAC" w:rsidP="00AE0EAC">
      <w:pPr>
        <w:pStyle w:val="Podtitul"/>
        <w:ind w:firstLine="708"/>
        <w:jc w:val="both"/>
        <w:rPr>
          <w:b w:val="0"/>
          <w:bCs w:val="0"/>
          <w:lang w:val="en-GB"/>
        </w:rPr>
      </w:pPr>
      <w:r w:rsidRPr="00AE0EAC">
        <w:rPr>
          <w:b w:val="0"/>
          <w:bCs w:val="0"/>
          <w:lang w:val="en-GB"/>
        </w:rPr>
        <w:t xml:space="preserve">The </w:t>
      </w:r>
      <w:r w:rsidR="00347F8A">
        <w:rPr>
          <w:b w:val="0"/>
          <w:bCs w:val="0"/>
          <w:lang w:val="en-GB"/>
        </w:rPr>
        <w:t>results</w:t>
      </w:r>
      <w:r w:rsidRPr="00AE0EAC">
        <w:rPr>
          <w:b w:val="0"/>
          <w:bCs w:val="0"/>
          <w:lang w:val="en-GB"/>
        </w:rPr>
        <w:t xml:space="preserve"> also showed that more than one third of the studies were based on </w:t>
      </w:r>
      <w:proofErr w:type="spellStart"/>
      <w:r w:rsidRPr="00AE0EAC">
        <w:rPr>
          <w:b w:val="0"/>
          <w:bCs w:val="0"/>
          <w:lang w:val="en-GB"/>
        </w:rPr>
        <w:t>Bourdieusian</w:t>
      </w:r>
      <w:proofErr w:type="spellEnd"/>
      <w:r w:rsidRPr="00AE0EAC">
        <w:rPr>
          <w:b w:val="0"/>
          <w:bCs w:val="0"/>
          <w:lang w:val="en-GB"/>
        </w:rPr>
        <w:t xml:space="preserve"> theoretical frameworks and almost half of them used context-oriented research models such as multiple case studies. Interestingly, some studies adopted a mixed-method approach by combining surveys, archives, and interviews to triangulate their data collection and research methodolog</w:t>
      </w:r>
      <w:r w:rsidR="00D86780">
        <w:rPr>
          <w:b w:val="0"/>
          <w:bCs w:val="0"/>
          <w:lang w:val="en-GB"/>
        </w:rPr>
        <w:t>ies</w:t>
      </w:r>
      <w:r w:rsidRPr="00AE0EAC">
        <w:rPr>
          <w:b w:val="0"/>
          <w:bCs w:val="0"/>
          <w:lang w:val="en-GB"/>
        </w:rPr>
        <w:t xml:space="preserve"> and hence to increase the reliability of their findings (Dörnyei 2007; </w:t>
      </w:r>
      <w:r w:rsidR="009A2FED" w:rsidRPr="00AE0EAC">
        <w:rPr>
          <w:b w:val="0"/>
          <w:bCs w:val="0"/>
          <w:lang w:val="en-GB"/>
        </w:rPr>
        <w:t xml:space="preserve">Saldanha </w:t>
      </w:r>
      <w:r w:rsidR="009A2FED">
        <w:rPr>
          <w:b w:val="0"/>
          <w:bCs w:val="0"/>
          <w:lang w:val="en-GB"/>
        </w:rPr>
        <w:t>&amp;</w:t>
      </w:r>
      <w:r w:rsidR="009A2FED" w:rsidRPr="00AE0EAC">
        <w:rPr>
          <w:b w:val="0"/>
          <w:bCs w:val="0"/>
          <w:lang w:val="en-GB"/>
        </w:rPr>
        <w:t xml:space="preserve"> O’Brien 2014</w:t>
      </w:r>
      <w:r w:rsidR="009A2FED">
        <w:rPr>
          <w:b w:val="0"/>
          <w:bCs w:val="0"/>
          <w:lang w:val="en-GB"/>
        </w:rPr>
        <w:t xml:space="preserve">; </w:t>
      </w:r>
      <w:r w:rsidR="009F6A6B" w:rsidRPr="00AE0EAC">
        <w:rPr>
          <w:b w:val="0"/>
          <w:bCs w:val="0"/>
          <w:lang w:val="en-GB"/>
        </w:rPr>
        <w:t xml:space="preserve">Mackey </w:t>
      </w:r>
      <w:r w:rsidR="009F6A6B">
        <w:rPr>
          <w:b w:val="0"/>
          <w:bCs w:val="0"/>
          <w:lang w:val="en-GB"/>
        </w:rPr>
        <w:t>&amp;</w:t>
      </w:r>
      <w:r w:rsidR="009F6A6B" w:rsidRPr="00AE0EAC">
        <w:rPr>
          <w:b w:val="0"/>
          <w:bCs w:val="0"/>
          <w:lang w:val="en-GB"/>
        </w:rPr>
        <w:t xml:space="preserve"> Gass 2016</w:t>
      </w:r>
      <w:r w:rsidRPr="00AE0EAC">
        <w:rPr>
          <w:b w:val="0"/>
          <w:bCs w:val="0"/>
          <w:lang w:val="en-GB"/>
        </w:rPr>
        <w:t xml:space="preserve">). In fact, the prevalence of case studies and surveys (or their combination in mixed methods) as a characteristic of research on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000D1D3F" w:rsidRPr="000D1D3F">
        <w:t xml:space="preserve"> </w:t>
      </w:r>
      <w:r w:rsidR="000D1D3F" w:rsidRPr="000D1D3F">
        <w:rPr>
          <w:b w:val="0"/>
          <w:bCs w:val="0"/>
          <w:lang w:val="en-GB"/>
        </w:rPr>
        <w:t>was first stated by Pym (2006)</w:t>
      </w:r>
      <w:r w:rsidRPr="00AE0EAC">
        <w:rPr>
          <w:b w:val="0"/>
          <w:bCs w:val="0"/>
          <w:lang w:val="en-GB"/>
        </w:rPr>
        <w:t xml:space="preserve">. Finally, analysis of contextual information about the universities where the studies </w:t>
      </w:r>
      <w:r w:rsidR="008A5B2B">
        <w:rPr>
          <w:b w:val="0"/>
          <w:bCs w:val="0"/>
          <w:lang w:val="en-GB"/>
        </w:rPr>
        <w:t>had been</w:t>
      </w:r>
      <w:r w:rsidRPr="00AE0EAC">
        <w:rPr>
          <w:b w:val="0"/>
          <w:bCs w:val="0"/>
          <w:lang w:val="en-GB"/>
        </w:rPr>
        <w:t xml:space="preserve"> conducted revealed that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was investigated by both translation and history postgraduate students. It was also found that </w:t>
      </w:r>
      <w:proofErr w:type="spellStart"/>
      <w:r w:rsidRPr="00AE0EAC">
        <w:rPr>
          <w:b w:val="0"/>
          <w:bCs w:val="0"/>
          <w:lang w:val="en-GB"/>
        </w:rPr>
        <w:t>Allameh</w:t>
      </w:r>
      <w:proofErr w:type="spellEnd"/>
      <w:r w:rsidRPr="00AE0EAC">
        <w:rPr>
          <w:b w:val="0"/>
          <w:bCs w:val="0"/>
          <w:lang w:val="en-GB"/>
        </w:rPr>
        <w:t xml:space="preserve"> </w:t>
      </w:r>
      <w:proofErr w:type="spellStart"/>
      <w:r w:rsidRPr="00AE0EAC">
        <w:rPr>
          <w:b w:val="0"/>
          <w:bCs w:val="0"/>
          <w:lang w:val="en-GB"/>
        </w:rPr>
        <w:t>Tabataba’i</w:t>
      </w:r>
      <w:proofErr w:type="spellEnd"/>
      <w:r w:rsidRPr="00AE0EAC">
        <w:rPr>
          <w:b w:val="0"/>
          <w:bCs w:val="0"/>
          <w:lang w:val="en-GB"/>
        </w:rPr>
        <w:t xml:space="preserve"> University and Ferdowsi University of Mashhad were the two main centres for studying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at postgraduate level in Iran. As there was a sharp increase in the number of sociological studies in 2019 probably due to the graduation of PhD students, it is very likely that the current trend will continue in the foreseeable future due to the growing interest and as more MA and PhD students are enrolled in translation </w:t>
      </w:r>
      <w:r w:rsidR="008B6FF7">
        <w:rPr>
          <w:b w:val="0"/>
          <w:bCs w:val="0"/>
          <w:lang w:val="en-GB"/>
        </w:rPr>
        <w:t>programme</w:t>
      </w:r>
      <w:r w:rsidRPr="00AE0EAC">
        <w:rPr>
          <w:b w:val="0"/>
          <w:bCs w:val="0"/>
          <w:lang w:val="en-GB"/>
        </w:rPr>
        <w:t>s</w:t>
      </w:r>
      <w:r w:rsidR="00BA2AD5" w:rsidRPr="00351D6C">
        <w:rPr>
          <w:b w:val="0"/>
          <w:bCs w:val="0"/>
          <w:vertAlign w:val="superscript"/>
          <w:lang w:val="en-GB"/>
        </w:rPr>
        <w:t>2</w:t>
      </w:r>
      <w:r w:rsidRPr="00AE0EAC">
        <w:rPr>
          <w:b w:val="0"/>
          <w:bCs w:val="0"/>
          <w:lang w:val="en-GB"/>
        </w:rPr>
        <w:t xml:space="preserve">. Investigating the reasons behind this surge in the number of studies on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could be an interesting research topic.</w:t>
      </w:r>
    </w:p>
    <w:p w14:paraId="64F60F0C" w14:textId="08AA5B1B" w:rsidR="009B3DB4" w:rsidRPr="00AE0EAC" w:rsidRDefault="00AE0EAC" w:rsidP="002D290A">
      <w:pPr>
        <w:pStyle w:val="Podtitul"/>
        <w:ind w:firstLine="708"/>
        <w:jc w:val="both"/>
        <w:rPr>
          <w:b w:val="0"/>
          <w:bCs w:val="0"/>
          <w:lang w:val="en-GB"/>
        </w:rPr>
      </w:pPr>
      <w:r w:rsidRPr="00AE0EAC">
        <w:rPr>
          <w:b w:val="0"/>
          <w:bCs w:val="0"/>
          <w:lang w:val="en-GB"/>
        </w:rPr>
        <w:lastRenderedPageBreak/>
        <w:t xml:space="preserve">The </w:t>
      </w:r>
      <w:r w:rsidR="00347F8A">
        <w:rPr>
          <w:b w:val="0"/>
          <w:bCs w:val="0"/>
          <w:lang w:val="en-GB"/>
        </w:rPr>
        <w:t>findings</w:t>
      </w:r>
      <w:r w:rsidRPr="00AE0EAC">
        <w:rPr>
          <w:b w:val="0"/>
          <w:bCs w:val="0"/>
          <w:lang w:val="en-GB"/>
        </w:rPr>
        <w:t xml:space="preserve"> of this study </w:t>
      </w:r>
      <w:r w:rsidR="00814560">
        <w:rPr>
          <w:b w:val="0"/>
          <w:bCs w:val="0"/>
          <w:lang w:val="en-GB"/>
        </w:rPr>
        <w:t>attest</w:t>
      </w:r>
      <w:r w:rsidRPr="00AE0EAC">
        <w:rPr>
          <w:b w:val="0"/>
          <w:bCs w:val="0"/>
          <w:lang w:val="en-GB"/>
        </w:rPr>
        <w:t xml:space="preserve"> that providing a map of postgraduate research on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in Iran is beneficial not only for Iranian researchers, but also for those who are interested in studying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elsewhere as it helps them to draw an indigenous map of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Hence, based on the findings, the researchers propose</w:t>
      </w:r>
      <w:r w:rsidR="0055242E">
        <w:rPr>
          <w:b w:val="0"/>
          <w:bCs w:val="0"/>
          <w:lang w:val="en-GB"/>
        </w:rPr>
        <w:t>d</w:t>
      </w:r>
      <w:r w:rsidRPr="00AE0EAC">
        <w:rPr>
          <w:b w:val="0"/>
          <w:bCs w:val="0"/>
          <w:lang w:val="en-GB"/>
        </w:rPr>
        <w:t xml:space="preserve"> a tentative map </w:t>
      </w:r>
      <w:r w:rsidR="0061625E" w:rsidRPr="0061625E">
        <w:rPr>
          <w:b w:val="0"/>
          <w:bCs w:val="0"/>
          <w:lang w:val="en-GB"/>
        </w:rPr>
        <w:t>(see the Appendix)</w:t>
      </w:r>
      <w:r w:rsidR="0061625E">
        <w:rPr>
          <w:b w:val="0"/>
          <w:bCs w:val="0"/>
          <w:lang w:val="en-GB"/>
        </w:rPr>
        <w:t xml:space="preserve"> </w:t>
      </w:r>
      <w:r w:rsidRPr="00AE0EAC">
        <w:rPr>
          <w:b w:val="0"/>
          <w:bCs w:val="0"/>
          <w:lang w:val="en-GB"/>
        </w:rPr>
        <w:t xml:space="preserve">of postgraduate research on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in Iran. As Simeoni (2007</w:t>
      </w:r>
      <w:r w:rsidR="00042E81">
        <w:rPr>
          <w:b w:val="0"/>
          <w:bCs w:val="0"/>
          <w:lang w:val="en-GB"/>
        </w:rPr>
        <w:t>: 188</w:t>
      </w:r>
      <w:r w:rsidRPr="00AE0EAC">
        <w:rPr>
          <w:b w:val="0"/>
          <w:bCs w:val="0"/>
          <w:lang w:val="en-GB"/>
        </w:rPr>
        <w:t>) state</w:t>
      </w:r>
      <w:r w:rsidR="003F1181">
        <w:rPr>
          <w:b w:val="0"/>
          <w:bCs w:val="0"/>
          <w:lang w:val="en-GB"/>
        </w:rPr>
        <w:t>s</w:t>
      </w:r>
      <w:r w:rsidRPr="00AE0EAC">
        <w:rPr>
          <w:b w:val="0"/>
          <w:bCs w:val="0"/>
          <w:lang w:val="en-GB"/>
        </w:rPr>
        <w:t>:</w:t>
      </w:r>
    </w:p>
    <w:p w14:paraId="3EC4E35E" w14:textId="1802A1DB" w:rsidR="009B3DB4" w:rsidRPr="002D290A" w:rsidRDefault="00AE0EAC" w:rsidP="002D290A">
      <w:pPr>
        <w:pStyle w:val="Podtitul"/>
        <w:spacing w:before="280" w:after="280"/>
        <w:ind w:left="720" w:right="720"/>
        <w:jc w:val="both"/>
        <w:rPr>
          <w:b w:val="0"/>
          <w:bCs w:val="0"/>
          <w:i/>
          <w:iCs/>
          <w:sz w:val="22"/>
          <w:szCs w:val="22"/>
          <w:lang w:val="en-GB"/>
        </w:rPr>
      </w:pPr>
      <w:r w:rsidRPr="001369DB">
        <w:rPr>
          <w:b w:val="0"/>
          <w:bCs w:val="0"/>
          <w:i/>
          <w:iCs/>
          <w:sz w:val="22"/>
          <w:szCs w:val="22"/>
          <w:lang w:val="en-GB"/>
        </w:rPr>
        <w:t xml:space="preserve">Mapping that circulation of ideas and the resulting practices in terms of the methods being used is not easy, but it is an indispensable step on the long and winding road of conceptualizing translation as an original object of study. </w:t>
      </w:r>
      <w:r w:rsidR="003A3FAA">
        <w:rPr>
          <w:b w:val="0"/>
          <w:bCs w:val="0"/>
          <w:i/>
          <w:iCs/>
          <w:sz w:val="22"/>
          <w:szCs w:val="22"/>
          <w:lang w:val="en-GB"/>
        </w:rPr>
        <w:t>[</w:t>
      </w:r>
      <w:r w:rsidRPr="001369DB">
        <w:rPr>
          <w:b w:val="0"/>
          <w:bCs w:val="0"/>
          <w:i/>
          <w:iCs/>
          <w:sz w:val="22"/>
          <w:szCs w:val="22"/>
          <w:lang w:val="en-GB"/>
        </w:rPr>
        <w:t>…</w:t>
      </w:r>
      <w:r w:rsidR="003A3FAA">
        <w:rPr>
          <w:b w:val="0"/>
          <w:bCs w:val="0"/>
          <w:i/>
          <w:iCs/>
          <w:sz w:val="22"/>
          <w:szCs w:val="22"/>
          <w:lang w:val="en-GB"/>
        </w:rPr>
        <w:t>]</w:t>
      </w:r>
      <w:r w:rsidRPr="001369DB">
        <w:rPr>
          <w:b w:val="0"/>
          <w:bCs w:val="0"/>
          <w:i/>
          <w:iCs/>
          <w:sz w:val="22"/>
          <w:szCs w:val="22"/>
          <w:lang w:val="en-GB"/>
        </w:rPr>
        <w:t xml:space="preserve"> The map need not be fixed. Indeed, it constantly evolves.</w:t>
      </w:r>
    </w:p>
    <w:p w14:paraId="2253633E" w14:textId="7082BACC" w:rsidR="00AE0EAC" w:rsidRPr="00AE0EAC" w:rsidRDefault="00AE0EAC" w:rsidP="002D290A">
      <w:pPr>
        <w:pStyle w:val="Podtitul"/>
        <w:keepNext/>
        <w:ind w:firstLine="709"/>
        <w:jc w:val="both"/>
        <w:rPr>
          <w:b w:val="0"/>
          <w:bCs w:val="0"/>
          <w:lang w:val="en-GB"/>
        </w:rPr>
      </w:pPr>
      <w:r w:rsidRPr="00AE0EAC">
        <w:rPr>
          <w:b w:val="0"/>
          <w:bCs w:val="0"/>
          <w:lang w:val="en-GB"/>
        </w:rPr>
        <w:t xml:space="preserve">The proposed map indicates that, in the current Iranian context, the study of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is relatively unexplored and open to novel ideas and themes for investigation. It is hoped that future researchers would fill the gaps by examining the unmapped areas.</w:t>
      </w:r>
    </w:p>
    <w:p w14:paraId="7413100C" w14:textId="771E1154" w:rsidR="00AE0EAC" w:rsidRPr="00AE0EAC" w:rsidRDefault="00AE0EAC" w:rsidP="009B3DB4">
      <w:pPr>
        <w:pStyle w:val="Podtitul"/>
        <w:ind w:firstLine="708"/>
        <w:jc w:val="both"/>
        <w:rPr>
          <w:b w:val="0"/>
          <w:bCs w:val="0"/>
          <w:lang w:val="en-GB"/>
        </w:rPr>
      </w:pPr>
      <w:r w:rsidRPr="00AE0EAC">
        <w:rPr>
          <w:b w:val="0"/>
          <w:bCs w:val="0"/>
          <w:lang w:val="en-GB"/>
        </w:rPr>
        <w:t xml:space="preserve">This research was limited to studying postgraduate research on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in Iranian universities. It is important to note, however, that to gain a comprehensive view of research trends in an area of translation in each country, one should investigate various sources of data, including those obtained from academic journals and publications. Such an investigation had already been carried out by </w:t>
      </w:r>
      <w:proofErr w:type="spellStart"/>
      <w:r w:rsidRPr="00AE0EAC">
        <w:rPr>
          <w:b w:val="0"/>
          <w:bCs w:val="0"/>
          <w:lang w:val="en-GB"/>
        </w:rPr>
        <w:t>Sanatifar</w:t>
      </w:r>
      <w:proofErr w:type="spellEnd"/>
      <w:r w:rsidRPr="00AE0EAC">
        <w:rPr>
          <w:b w:val="0"/>
          <w:bCs w:val="0"/>
          <w:lang w:val="en-GB"/>
        </w:rPr>
        <w:t xml:space="preserve"> (2019) who found only seven studies on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in the two leading Iranian translation journals. Hence, the present research is more comprehensive in terms of duration, scope, and number of studies.</w:t>
      </w:r>
      <w:r w:rsidR="002717EE">
        <w:rPr>
          <w:b w:val="0"/>
          <w:bCs w:val="0"/>
          <w:lang w:val="en-GB"/>
        </w:rPr>
        <w:t xml:space="preserve"> </w:t>
      </w:r>
    </w:p>
    <w:p w14:paraId="43E33C7A" w14:textId="7670757C" w:rsidR="009B3DB4" w:rsidRDefault="00AE0EAC" w:rsidP="001C7998">
      <w:pPr>
        <w:pStyle w:val="Podtitul"/>
        <w:ind w:firstLine="708"/>
        <w:jc w:val="both"/>
        <w:rPr>
          <w:b w:val="0"/>
          <w:bCs w:val="0"/>
          <w:lang w:val="en-GB"/>
        </w:rPr>
      </w:pPr>
      <w:r w:rsidRPr="00AE0EAC">
        <w:rPr>
          <w:b w:val="0"/>
          <w:bCs w:val="0"/>
          <w:lang w:val="en-GB"/>
        </w:rPr>
        <w:t xml:space="preserve">Finally, the qualitative analysis in our study was based on the subjective judgement of the researchers, especially regarding decisions on what represents a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research area or a translation model. Considering this limitation and the rapid developments in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more relevant studies are required in the future to consolidate our findings and to present a more accurate and detailed map of </w:t>
      </w:r>
      <w:r w:rsidR="00D24BE6">
        <w:rPr>
          <w:b w:val="0"/>
          <w:bCs w:val="0"/>
          <w:lang w:val="en-GB"/>
        </w:rPr>
        <w:t xml:space="preserve">postgraduate </w:t>
      </w:r>
      <w:r w:rsidRPr="00AE0EAC">
        <w:rPr>
          <w:b w:val="0"/>
          <w:bCs w:val="0"/>
          <w:lang w:val="en-GB"/>
        </w:rPr>
        <w:t xml:space="preserve">research in the </w:t>
      </w:r>
      <w:proofErr w:type="spellStart"/>
      <w:r w:rsidRPr="00AE0EAC">
        <w:rPr>
          <w:b w:val="0"/>
          <w:bCs w:val="0"/>
          <w:lang w:val="en-GB"/>
        </w:rPr>
        <w:t>S</w:t>
      </w:r>
      <w:r w:rsidR="00EC5071">
        <w:rPr>
          <w:b w:val="0"/>
          <w:bCs w:val="0"/>
          <w:lang w:val="en-GB"/>
        </w:rPr>
        <w:t>o</w:t>
      </w:r>
      <w:r w:rsidRPr="00AE0EAC">
        <w:rPr>
          <w:b w:val="0"/>
          <w:bCs w:val="0"/>
          <w:lang w:val="en-GB"/>
        </w:rPr>
        <w:t>T</w:t>
      </w:r>
      <w:proofErr w:type="spellEnd"/>
      <w:r w:rsidRPr="00AE0EAC">
        <w:rPr>
          <w:b w:val="0"/>
          <w:bCs w:val="0"/>
          <w:lang w:val="en-GB"/>
        </w:rPr>
        <w:t xml:space="preserve"> in Iran.</w:t>
      </w:r>
    </w:p>
    <w:p w14:paraId="5106885B" w14:textId="53580BAF" w:rsidR="00A164C7" w:rsidRPr="00112789" w:rsidRDefault="003E1FF4" w:rsidP="001C7998">
      <w:pPr>
        <w:pStyle w:val="Nadpis1"/>
        <w:spacing w:before="560" w:after="280"/>
        <w:contextualSpacing/>
      </w:pPr>
      <w:r w:rsidRPr="003E1FF4">
        <w:t>Notes</w:t>
      </w:r>
    </w:p>
    <w:p w14:paraId="60556F81" w14:textId="10C408AB" w:rsidR="003E1FF4" w:rsidRPr="00200D43" w:rsidRDefault="003E1FF4" w:rsidP="0080421F">
      <w:pPr>
        <w:pStyle w:val="Podtitul"/>
        <w:jc w:val="both"/>
        <w:rPr>
          <w:b w:val="0"/>
          <w:bCs w:val="0"/>
          <w:sz w:val="22"/>
          <w:szCs w:val="22"/>
          <w:lang w:val="en-GB"/>
        </w:rPr>
      </w:pPr>
      <w:r w:rsidRPr="00200D43">
        <w:rPr>
          <w:b w:val="0"/>
          <w:bCs w:val="0"/>
          <w:sz w:val="22"/>
          <w:szCs w:val="22"/>
          <w:lang w:val="en-GB"/>
        </w:rPr>
        <w:t xml:space="preserve">1. Esmaeil </w:t>
      </w:r>
      <w:proofErr w:type="spellStart"/>
      <w:r w:rsidRPr="00200D43">
        <w:rPr>
          <w:b w:val="0"/>
          <w:bCs w:val="0"/>
          <w:sz w:val="22"/>
          <w:szCs w:val="22"/>
          <w:lang w:val="en-GB"/>
        </w:rPr>
        <w:t>Haddadian</w:t>
      </w:r>
      <w:proofErr w:type="spellEnd"/>
      <w:r w:rsidRPr="00200D43">
        <w:rPr>
          <w:b w:val="0"/>
          <w:bCs w:val="0"/>
          <w:sz w:val="22"/>
          <w:szCs w:val="22"/>
          <w:lang w:val="en-GB"/>
        </w:rPr>
        <w:t xml:space="preserve">-Moghaddam’s book entitled </w:t>
      </w:r>
      <w:r w:rsidRPr="00841890">
        <w:rPr>
          <w:b w:val="0"/>
          <w:bCs w:val="0"/>
          <w:i/>
          <w:iCs/>
          <w:sz w:val="22"/>
          <w:szCs w:val="22"/>
          <w:lang w:val="en-GB"/>
        </w:rPr>
        <w:t>Literary Translation in Modern Iran: A sociological study</w:t>
      </w:r>
      <w:r w:rsidRPr="00200D43">
        <w:rPr>
          <w:b w:val="0"/>
          <w:bCs w:val="0"/>
          <w:sz w:val="22"/>
          <w:szCs w:val="22"/>
          <w:lang w:val="en-GB"/>
        </w:rPr>
        <w:t xml:space="preserve"> was first developed at Rovira </w:t>
      </w:r>
      <w:proofErr w:type="spellStart"/>
      <w:r w:rsidRPr="00200D43">
        <w:rPr>
          <w:b w:val="0"/>
          <w:bCs w:val="0"/>
          <w:sz w:val="22"/>
          <w:szCs w:val="22"/>
          <w:lang w:val="en-GB"/>
        </w:rPr>
        <w:t>i</w:t>
      </w:r>
      <w:proofErr w:type="spellEnd"/>
      <w:r w:rsidRPr="00200D43">
        <w:rPr>
          <w:b w:val="0"/>
          <w:bCs w:val="0"/>
          <w:sz w:val="22"/>
          <w:szCs w:val="22"/>
          <w:lang w:val="en-GB"/>
        </w:rPr>
        <w:t xml:space="preserve"> Virgili University in Spain as a doctoral dissertation and later revised at KU Leuven University in Belgium during and after his postdoctoral fellowship. It was finally published by John Benjamins Publishing Company in 2014.</w:t>
      </w:r>
    </w:p>
    <w:p w14:paraId="48A3A452" w14:textId="112F0587" w:rsidR="009A7ABC" w:rsidRDefault="003E1FF4" w:rsidP="00200D43">
      <w:pPr>
        <w:pStyle w:val="Podtitul"/>
        <w:jc w:val="both"/>
        <w:rPr>
          <w:b w:val="0"/>
          <w:bCs w:val="0"/>
          <w:sz w:val="22"/>
          <w:szCs w:val="22"/>
          <w:lang w:val="en-GB"/>
        </w:rPr>
      </w:pPr>
      <w:r w:rsidRPr="00200D43">
        <w:rPr>
          <w:b w:val="0"/>
          <w:bCs w:val="0"/>
          <w:sz w:val="22"/>
          <w:szCs w:val="22"/>
          <w:lang w:val="en-GB"/>
        </w:rPr>
        <w:t xml:space="preserve">2. </w:t>
      </w:r>
      <w:r w:rsidR="003B46CA">
        <w:rPr>
          <w:b w:val="0"/>
          <w:bCs w:val="0"/>
          <w:sz w:val="22"/>
          <w:szCs w:val="22"/>
          <w:lang w:val="en-GB"/>
        </w:rPr>
        <w:t>After 2019, d</w:t>
      </w:r>
      <w:r w:rsidRPr="00200D43">
        <w:rPr>
          <w:b w:val="0"/>
          <w:bCs w:val="0"/>
          <w:sz w:val="22"/>
          <w:szCs w:val="22"/>
          <w:lang w:val="en-GB"/>
        </w:rPr>
        <w:t xml:space="preserve">ue to the Covid-19 pandemic the </w:t>
      </w:r>
      <w:r w:rsidR="00CA7AA9">
        <w:rPr>
          <w:b w:val="0"/>
          <w:bCs w:val="0"/>
          <w:sz w:val="22"/>
          <w:szCs w:val="22"/>
          <w:lang w:val="en-GB"/>
        </w:rPr>
        <w:t>bright</w:t>
      </w:r>
      <w:r w:rsidRPr="00200D43">
        <w:rPr>
          <w:b w:val="0"/>
          <w:bCs w:val="0"/>
          <w:sz w:val="22"/>
          <w:szCs w:val="22"/>
          <w:lang w:val="en-GB"/>
        </w:rPr>
        <w:t xml:space="preserve"> prospects for a surge in research in the sociology of translation waned and hence the number of studies decreased over the ensuing years.</w:t>
      </w:r>
    </w:p>
    <w:p w14:paraId="1DC54B21" w14:textId="3B7FE46F" w:rsidR="00C97B55" w:rsidRPr="00755161" w:rsidRDefault="00C97B55" w:rsidP="00446924">
      <w:pPr>
        <w:pStyle w:val="Nadpis1"/>
        <w:spacing w:before="560" w:after="280"/>
        <w:contextualSpacing/>
      </w:pPr>
      <w:r w:rsidRPr="00755161">
        <w:t>References</w:t>
      </w:r>
    </w:p>
    <w:p w14:paraId="0F23BA30" w14:textId="40A41B1C" w:rsidR="003E5C46" w:rsidRPr="00755161" w:rsidRDefault="003C1777" w:rsidP="00755F5C">
      <w:pPr>
        <w:spacing w:after="160"/>
        <w:ind w:left="709" w:hanging="720"/>
        <w:jc w:val="both"/>
        <w:rPr>
          <w:sz w:val="22"/>
          <w:szCs w:val="22"/>
          <w:lang w:val="en-GB"/>
        </w:rPr>
      </w:pPr>
      <w:proofErr w:type="spellStart"/>
      <w:r w:rsidRPr="00755161">
        <w:rPr>
          <w:sz w:val="22"/>
          <w:szCs w:val="22"/>
          <w:lang w:val="en-GB"/>
        </w:rPr>
        <w:t>Angelelli</w:t>
      </w:r>
      <w:proofErr w:type="spellEnd"/>
      <w:r w:rsidRPr="00755161">
        <w:rPr>
          <w:sz w:val="22"/>
          <w:szCs w:val="22"/>
          <w:lang w:val="en-GB"/>
        </w:rPr>
        <w:t>,</w:t>
      </w:r>
      <w:r w:rsidR="003E5C46" w:rsidRPr="00755161">
        <w:rPr>
          <w:sz w:val="22"/>
          <w:szCs w:val="22"/>
          <w:lang w:val="en-GB"/>
        </w:rPr>
        <w:t xml:space="preserve"> C</w:t>
      </w:r>
      <w:r w:rsidRPr="00755161">
        <w:rPr>
          <w:sz w:val="22"/>
          <w:szCs w:val="22"/>
          <w:lang w:val="en-GB"/>
        </w:rPr>
        <w:t>laudia</w:t>
      </w:r>
      <w:r w:rsidR="003E5C46" w:rsidRPr="00755161">
        <w:rPr>
          <w:sz w:val="22"/>
          <w:szCs w:val="22"/>
          <w:lang w:val="en-GB"/>
        </w:rPr>
        <w:t xml:space="preserve"> V. 2014. </w:t>
      </w:r>
      <w:r w:rsidR="003E5C46" w:rsidRPr="00755161">
        <w:rPr>
          <w:i/>
          <w:iCs/>
          <w:sz w:val="22"/>
          <w:szCs w:val="22"/>
          <w:lang w:val="en-GB"/>
        </w:rPr>
        <w:t>The Sociological Turn in Translation and Interpreting Studies</w:t>
      </w:r>
      <w:r w:rsidR="003E5C46" w:rsidRPr="00755161">
        <w:rPr>
          <w:sz w:val="22"/>
          <w:szCs w:val="22"/>
          <w:lang w:val="en-GB"/>
        </w:rPr>
        <w:t>. Amsterdam</w:t>
      </w:r>
      <w:r w:rsidR="00723C37">
        <w:rPr>
          <w:sz w:val="22"/>
          <w:szCs w:val="22"/>
          <w:lang w:val="en-GB"/>
        </w:rPr>
        <w:t>:</w:t>
      </w:r>
      <w:r w:rsidR="003E5C46" w:rsidRPr="00755161">
        <w:rPr>
          <w:sz w:val="22"/>
          <w:szCs w:val="22"/>
          <w:lang w:val="en-GB"/>
        </w:rPr>
        <w:t xml:space="preserve"> Philadelphia: John Benjamins.</w:t>
      </w:r>
    </w:p>
    <w:p w14:paraId="6D89ED39" w14:textId="478185EC" w:rsidR="00954BAD" w:rsidRPr="00755161" w:rsidRDefault="003C1777" w:rsidP="00755F5C">
      <w:pPr>
        <w:spacing w:after="160"/>
        <w:ind w:left="709" w:hanging="720"/>
        <w:jc w:val="both"/>
        <w:rPr>
          <w:sz w:val="22"/>
          <w:szCs w:val="22"/>
          <w:lang w:val="en-GB"/>
        </w:rPr>
      </w:pPr>
      <w:r w:rsidRPr="00755161">
        <w:rPr>
          <w:sz w:val="22"/>
          <w:szCs w:val="22"/>
          <w:lang w:val="en-GB"/>
        </w:rPr>
        <w:t>Baker,</w:t>
      </w:r>
      <w:r w:rsidR="0069035A" w:rsidRPr="00755161">
        <w:rPr>
          <w:sz w:val="22"/>
          <w:szCs w:val="22"/>
          <w:lang w:val="en-GB"/>
        </w:rPr>
        <w:t xml:space="preserve"> M</w:t>
      </w:r>
      <w:r w:rsidR="00954BAD" w:rsidRPr="00755161">
        <w:rPr>
          <w:sz w:val="22"/>
          <w:szCs w:val="22"/>
          <w:lang w:val="en-GB"/>
        </w:rPr>
        <w:t>ona</w:t>
      </w:r>
      <w:r w:rsidR="0069035A" w:rsidRPr="00755161">
        <w:rPr>
          <w:sz w:val="22"/>
          <w:szCs w:val="22"/>
          <w:lang w:val="en-GB"/>
        </w:rPr>
        <w:t xml:space="preserve"> </w:t>
      </w:r>
      <w:r w:rsidR="001B4EC4" w:rsidRPr="00755161">
        <w:rPr>
          <w:sz w:val="22"/>
          <w:szCs w:val="22"/>
          <w:lang w:val="en-GB"/>
        </w:rPr>
        <w:t>(</w:t>
      </w:r>
      <w:r w:rsidR="0069035A" w:rsidRPr="00755161">
        <w:rPr>
          <w:sz w:val="22"/>
          <w:szCs w:val="22"/>
          <w:lang w:val="en-GB"/>
        </w:rPr>
        <w:t>ed.</w:t>
      </w:r>
      <w:r w:rsidR="001B4EC4" w:rsidRPr="00755161">
        <w:rPr>
          <w:sz w:val="22"/>
          <w:szCs w:val="22"/>
          <w:lang w:val="en-GB"/>
        </w:rPr>
        <w:t>).</w:t>
      </w:r>
      <w:r w:rsidR="0069035A" w:rsidRPr="00755161">
        <w:rPr>
          <w:sz w:val="22"/>
          <w:szCs w:val="22"/>
          <w:lang w:val="en-GB"/>
        </w:rPr>
        <w:t xml:space="preserve"> 2010. </w:t>
      </w:r>
      <w:r w:rsidR="0069035A" w:rsidRPr="00755161">
        <w:rPr>
          <w:i/>
          <w:iCs/>
          <w:sz w:val="22"/>
          <w:szCs w:val="22"/>
          <w:lang w:val="en-GB"/>
        </w:rPr>
        <w:t>Critical Readings in Translation Studies</w:t>
      </w:r>
      <w:r w:rsidR="0069035A" w:rsidRPr="00755161">
        <w:rPr>
          <w:sz w:val="22"/>
          <w:szCs w:val="22"/>
          <w:lang w:val="en-GB"/>
        </w:rPr>
        <w:t>. London: Routledge.</w:t>
      </w:r>
    </w:p>
    <w:p w14:paraId="495BFA80" w14:textId="6701E87A" w:rsidR="00954BAD" w:rsidRPr="00755161" w:rsidRDefault="00954BAD" w:rsidP="00755F5C">
      <w:pPr>
        <w:spacing w:after="160"/>
        <w:ind w:left="709" w:hanging="720"/>
        <w:jc w:val="both"/>
        <w:rPr>
          <w:sz w:val="22"/>
          <w:szCs w:val="22"/>
          <w:lang w:val="en-GB"/>
        </w:rPr>
      </w:pPr>
      <w:r w:rsidRPr="00755161">
        <w:rPr>
          <w:sz w:val="22"/>
          <w:szCs w:val="22"/>
          <w:lang w:val="en-GB"/>
        </w:rPr>
        <w:t>Berneking, S</w:t>
      </w:r>
      <w:r w:rsidR="00472344" w:rsidRPr="00755161">
        <w:rPr>
          <w:sz w:val="22"/>
          <w:szCs w:val="22"/>
          <w:lang w:val="en-GB"/>
        </w:rPr>
        <w:t>teve</w:t>
      </w:r>
      <w:r w:rsidRPr="00755161">
        <w:rPr>
          <w:sz w:val="22"/>
          <w:szCs w:val="22"/>
          <w:lang w:val="en-GB"/>
        </w:rPr>
        <w:t xml:space="preserve">. 2016. A </w:t>
      </w:r>
      <w:r w:rsidR="006C6489">
        <w:rPr>
          <w:sz w:val="22"/>
          <w:szCs w:val="22"/>
          <w:lang w:val="en-GB"/>
        </w:rPr>
        <w:t>s</w:t>
      </w:r>
      <w:r w:rsidRPr="00755161">
        <w:rPr>
          <w:sz w:val="22"/>
          <w:szCs w:val="22"/>
          <w:lang w:val="en-GB"/>
        </w:rPr>
        <w:t xml:space="preserve">ociology of </w:t>
      </w:r>
      <w:r w:rsidR="006C6489">
        <w:rPr>
          <w:sz w:val="22"/>
          <w:szCs w:val="22"/>
          <w:lang w:val="en-GB"/>
        </w:rPr>
        <w:t>t</w:t>
      </w:r>
      <w:r w:rsidRPr="00755161">
        <w:rPr>
          <w:sz w:val="22"/>
          <w:szCs w:val="22"/>
          <w:lang w:val="en-GB"/>
        </w:rPr>
        <w:t xml:space="preserve">ranslation and the </w:t>
      </w:r>
      <w:r w:rsidR="006C6489">
        <w:rPr>
          <w:sz w:val="22"/>
          <w:szCs w:val="22"/>
          <w:lang w:val="en-GB"/>
        </w:rPr>
        <w:t>c</w:t>
      </w:r>
      <w:r w:rsidRPr="00755161">
        <w:rPr>
          <w:sz w:val="22"/>
          <w:szCs w:val="22"/>
          <w:lang w:val="en-GB"/>
        </w:rPr>
        <w:t xml:space="preserve">entral </w:t>
      </w:r>
      <w:r w:rsidR="006C6489">
        <w:rPr>
          <w:sz w:val="22"/>
          <w:szCs w:val="22"/>
          <w:lang w:val="en-GB"/>
        </w:rPr>
        <w:t>r</w:t>
      </w:r>
      <w:r w:rsidRPr="00755161">
        <w:rPr>
          <w:sz w:val="22"/>
          <w:szCs w:val="22"/>
          <w:lang w:val="en-GB"/>
        </w:rPr>
        <w:t xml:space="preserve">ole of the </w:t>
      </w:r>
      <w:r w:rsidR="006C6489">
        <w:rPr>
          <w:sz w:val="22"/>
          <w:szCs w:val="22"/>
          <w:lang w:val="en-GB"/>
        </w:rPr>
        <w:t>t</w:t>
      </w:r>
      <w:r w:rsidRPr="00755161">
        <w:rPr>
          <w:sz w:val="22"/>
          <w:szCs w:val="22"/>
          <w:lang w:val="en-GB"/>
        </w:rPr>
        <w:t xml:space="preserve">ranslator. </w:t>
      </w:r>
      <w:r w:rsidRPr="00755161">
        <w:rPr>
          <w:i/>
          <w:iCs/>
          <w:sz w:val="22"/>
          <w:szCs w:val="22"/>
          <w:lang w:val="en-GB"/>
        </w:rPr>
        <w:t>The Bible Translator</w:t>
      </w:r>
      <w:r w:rsidRPr="00755161">
        <w:rPr>
          <w:sz w:val="22"/>
          <w:szCs w:val="22"/>
          <w:lang w:val="en-GB"/>
        </w:rPr>
        <w:t xml:space="preserve"> 67(3)</w:t>
      </w:r>
      <w:r w:rsidR="00723C37">
        <w:rPr>
          <w:sz w:val="22"/>
          <w:szCs w:val="22"/>
          <w:lang w:val="en-GB"/>
        </w:rPr>
        <w:t>:</w:t>
      </w:r>
      <w:r w:rsidRPr="00755161">
        <w:rPr>
          <w:sz w:val="22"/>
          <w:szCs w:val="22"/>
          <w:lang w:val="en-GB"/>
        </w:rPr>
        <w:t xml:space="preserve"> 265</w:t>
      </w:r>
      <w:r w:rsidR="00123570">
        <w:rPr>
          <w:sz w:val="22"/>
          <w:szCs w:val="22"/>
          <w:lang w:val="en-GB"/>
        </w:rPr>
        <w:t>–</w:t>
      </w:r>
      <w:r w:rsidRPr="00755161">
        <w:rPr>
          <w:sz w:val="22"/>
          <w:szCs w:val="22"/>
          <w:lang w:val="en-GB"/>
        </w:rPr>
        <w:t>281. doi:10.1177/2051677016670232</w:t>
      </w:r>
      <w:r w:rsidR="00A50A04">
        <w:rPr>
          <w:sz w:val="22"/>
          <w:szCs w:val="22"/>
          <w:lang w:val="en-GB"/>
        </w:rPr>
        <w:t>.</w:t>
      </w:r>
    </w:p>
    <w:p w14:paraId="40CC89B7" w14:textId="6F749841"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lastRenderedPageBreak/>
        <w:t>Buzelin</w:t>
      </w:r>
      <w:proofErr w:type="spellEnd"/>
      <w:r w:rsidRPr="00755161">
        <w:rPr>
          <w:sz w:val="22"/>
          <w:szCs w:val="22"/>
          <w:lang w:val="en-GB"/>
        </w:rPr>
        <w:t xml:space="preserve">, </w:t>
      </w:r>
      <w:r w:rsidR="007F79EE" w:rsidRPr="00755161">
        <w:rPr>
          <w:sz w:val="22"/>
          <w:szCs w:val="22"/>
          <w:lang w:val="en-GB"/>
        </w:rPr>
        <w:t>Hélène</w:t>
      </w:r>
      <w:r w:rsidRPr="00755161">
        <w:rPr>
          <w:sz w:val="22"/>
          <w:szCs w:val="22"/>
          <w:lang w:val="en-GB"/>
        </w:rPr>
        <w:t xml:space="preserve">. 2005. Unexpected </w:t>
      </w:r>
      <w:r w:rsidR="004D26B7">
        <w:rPr>
          <w:sz w:val="22"/>
          <w:szCs w:val="22"/>
          <w:lang w:val="en-GB"/>
        </w:rPr>
        <w:t>a</w:t>
      </w:r>
      <w:r w:rsidRPr="00755161">
        <w:rPr>
          <w:sz w:val="22"/>
          <w:szCs w:val="22"/>
          <w:lang w:val="en-GB"/>
        </w:rPr>
        <w:t>llies</w:t>
      </w:r>
      <w:r w:rsidR="007F79EE" w:rsidRPr="00755161">
        <w:rPr>
          <w:sz w:val="22"/>
          <w:szCs w:val="22"/>
          <w:lang w:val="en-GB"/>
        </w:rPr>
        <w:t xml:space="preserve">: How </w:t>
      </w:r>
      <w:r w:rsidR="004D26B7">
        <w:rPr>
          <w:sz w:val="22"/>
          <w:szCs w:val="22"/>
          <w:lang w:val="en-GB"/>
        </w:rPr>
        <w:t>L</w:t>
      </w:r>
      <w:r w:rsidR="007F79EE" w:rsidRPr="00755161">
        <w:rPr>
          <w:sz w:val="22"/>
          <w:szCs w:val="22"/>
          <w:lang w:val="en-GB"/>
        </w:rPr>
        <w:t xml:space="preserve">atour’s Network Theory could complement </w:t>
      </w:r>
      <w:proofErr w:type="spellStart"/>
      <w:r w:rsidR="007F79EE" w:rsidRPr="00755161">
        <w:rPr>
          <w:sz w:val="22"/>
          <w:szCs w:val="22"/>
          <w:lang w:val="en-GB"/>
        </w:rPr>
        <w:t>Bourdieusian</w:t>
      </w:r>
      <w:proofErr w:type="spellEnd"/>
      <w:r w:rsidR="007F79EE" w:rsidRPr="00755161">
        <w:rPr>
          <w:sz w:val="22"/>
          <w:szCs w:val="22"/>
          <w:lang w:val="en-GB"/>
        </w:rPr>
        <w:t xml:space="preserve"> analyses in translation studies</w:t>
      </w:r>
      <w:r w:rsidRPr="00755161">
        <w:rPr>
          <w:sz w:val="22"/>
          <w:szCs w:val="22"/>
          <w:lang w:val="en-GB"/>
        </w:rPr>
        <w:t xml:space="preserve">. </w:t>
      </w:r>
      <w:r w:rsidRPr="00755161">
        <w:rPr>
          <w:i/>
          <w:iCs/>
          <w:sz w:val="22"/>
          <w:szCs w:val="22"/>
          <w:lang w:val="en-GB"/>
        </w:rPr>
        <w:t>The Translator</w:t>
      </w:r>
      <w:r w:rsidRPr="00755161">
        <w:rPr>
          <w:sz w:val="22"/>
          <w:szCs w:val="22"/>
          <w:lang w:val="en-GB"/>
        </w:rPr>
        <w:t xml:space="preserve"> 11(2)</w:t>
      </w:r>
      <w:r w:rsidR="00723C37">
        <w:rPr>
          <w:sz w:val="22"/>
          <w:szCs w:val="22"/>
          <w:lang w:val="en-GB"/>
        </w:rPr>
        <w:t>:</w:t>
      </w:r>
      <w:r w:rsidRPr="00755161">
        <w:rPr>
          <w:sz w:val="22"/>
          <w:szCs w:val="22"/>
          <w:lang w:val="en-GB"/>
        </w:rPr>
        <w:t xml:space="preserve"> 193</w:t>
      </w:r>
      <w:r w:rsidR="00123570">
        <w:rPr>
          <w:sz w:val="22"/>
          <w:szCs w:val="22"/>
          <w:lang w:val="en-GB"/>
        </w:rPr>
        <w:t>–</w:t>
      </w:r>
      <w:r w:rsidRPr="00755161">
        <w:rPr>
          <w:sz w:val="22"/>
          <w:szCs w:val="22"/>
          <w:lang w:val="en-GB"/>
        </w:rPr>
        <w:t>218. doi.org/10.1080/13556509.2005.10799198</w:t>
      </w:r>
      <w:r w:rsidR="00A50A04">
        <w:rPr>
          <w:sz w:val="22"/>
          <w:szCs w:val="22"/>
          <w:lang w:val="en-GB"/>
        </w:rPr>
        <w:t>.</w:t>
      </w:r>
    </w:p>
    <w:p w14:paraId="08AD9F10" w14:textId="56FFBAEF" w:rsidR="00954BAD" w:rsidRPr="00755161" w:rsidRDefault="00954BAD" w:rsidP="00755F5C">
      <w:pPr>
        <w:spacing w:after="160"/>
        <w:ind w:left="709" w:hanging="720"/>
        <w:jc w:val="both"/>
        <w:rPr>
          <w:sz w:val="22"/>
          <w:szCs w:val="22"/>
          <w:lang w:val="en-GB"/>
        </w:rPr>
      </w:pPr>
      <w:r w:rsidRPr="00755161">
        <w:rPr>
          <w:sz w:val="22"/>
          <w:szCs w:val="22"/>
          <w:lang w:val="en-GB"/>
        </w:rPr>
        <w:t>Chesterman, A</w:t>
      </w:r>
      <w:r w:rsidR="007F79EE" w:rsidRPr="00755161">
        <w:rPr>
          <w:sz w:val="22"/>
          <w:szCs w:val="22"/>
          <w:lang w:val="en-GB"/>
        </w:rPr>
        <w:t>ndrew</w:t>
      </w:r>
      <w:r w:rsidRPr="00755161">
        <w:rPr>
          <w:sz w:val="22"/>
          <w:szCs w:val="22"/>
          <w:lang w:val="en-GB"/>
        </w:rPr>
        <w:t xml:space="preserve">. 2009. The name and nature of translator studies. </w:t>
      </w:r>
      <w:r w:rsidRPr="00755161">
        <w:rPr>
          <w:i/>
          <w:iCs/>
          <w:sz w:val="22"/>
          <w:szCs w:val="22"/>
          <w:lang w:val="en-GB"/>
        </w:rPr>
        <w:t>Hermes</w:t>
      </w:r>
      <w:r w:rsidRPr="00755161">
        <w:rPr>
          <w:sz w:val="22"/>
          <w:szCs w:val="22"/>
          <w:lang w:val="en-GB"/>
        </w:rPr>
        <w:t xml:space="preserve"> 42</w:t>
      </w:r>
      <w:r w:rsidR="00723C37">
        <w:rPr>
          <w:sz w:val="22"/>
          <w:szCs w:val="22"/>
          <w:lang w:val="en-GB"/>
        </w:rPr>
        <w:t>:</w:t>
      </w:r>
      <w:r w:rsidRPr="00755161">
        <w:rPr>
          <w:sz w:val="22"/>
          <w:szCs w:val="22"/>
          <w:lang w:val="en-GB"/>
        </w:rPr>
        <w:t xml:space="preserve"> 13</w:t>
      </w:r>
      <w:r w:rsidR="00123570">
        <w:rPr>
          <w:sz w:val="22"/>
          <w:szCs w:val="22"/>
          <w:lang w:val="en-GB"/>
        </w:rPr>
        <w:t>–</w:t>
      </w:r>
      <w:r w:rsidRPr="00755161">
        <w:rPr>
          <w:sz w:val="22"/>
          <w:szCs w:val="22"/>
          <w:lang w:val="en-GB"/>
        </w:rPr>
        <w:t>22.</w:t>
      </w:r>
    </w:p>
    <w:p w14:paraId="4F3AF1D0" w14:textId="30BFDB99" w:rsidR="00954BAD" w:rsidRPr="00755161" w:rsidRDefault="00954BAD" w:rsidP="00755F5C">
      <w:pPr>
        <w:spacing w:after="160"/>
        <w:ind w:left="709" w:hanging="720"/>
        <w:jc w:val="both"/>
        <w:rPr>
          <w:sz w:val="22"/>
          <w:szCs w:val="22"/>
          <w:lang w:val="en-GB"/>
        </w:rPr>
      </w:pPr>
      <w:r w:rsidRPr="00755161">
        <w:rPr>
          <w:sz w:val="22"/>
          <w:szCs w:val="22"/>
          <w:lang w:val="en-GB"/>
        </w:rPr>
        <w:t xml:space="preserve">Dimitriu, </w:t>
      </w:r>
      <w:r w:rsidR="004A79C2" w:rsidRPr="00755161">
        <w:rPr>
          <w:sz w:val="22"/>
          <w:szCs w:val="22"/>
          <w:lang w:val="en-GB"/>
        </w:rPr>
        <w:t>Ileana</w:t>
      </w:r>
      <w:r w:rsidRPr="00755161">
        <w:rPr>
          <w:sz w:val="22"/>
          <w:szCs w:val="22"/>
          <w:lang w:val="en-GB"/>
        </w:rPr>
        <w:t xml:space="preserve">. 2010. Activism and the </w:t>
      </w:r>
      <w:r w:rsidR="004D26B7">
        <w:rPr>
          <w:sz w:val="22"/>
          <w:szCs w:val="22"/>
          <w:lang w:val="en-GB"/>
        </w:rPr>
        <w:t>i</w:t>
      </w:r>
      <w:r w:rsidRPr="00755161">
        <w:rPr>
          <w:sz w:val="22"/>
          <w:szCs w:val="22"/>
          <w:lang w:val="en-GB"/>
        </w:rPr>
        <w:t xml:space="preserve">ntensity of the </w:t>
      </w:r>
      <w:r w:rsidR="004D26B7">
        <w:rPr>
          <w:sz w:val="22"/>
          <w:szCs w:val="22"/>
          <w:lang w:val="en-GB"/>
        </w:rPr>
        <w:t>l</w:t>
      </w:r>
      <w:r w:rsidRPr="00755161">
        <w:rPr>
          <w:sz w:val="22"/>
          <w:szCs w:val="22"/>
          <w:lang w:val="en-GB"/>
        </w:rPr>
        <w:t xml:space="preserve">ocal: Translation, </w:t>
      </w:r>
      <w:r w:rsidR="00A06918" w:rsidRPr="00755161">
        <w:rPr>
          <w:sz w:val="22"/>
          <w:szCs w:val="22"/>
          <w:lang w:val="en-GB"/>
        </w:rPr>
        <w:t>c</w:t>
      </w:r>
      <w:r w:rsidRPr="00755161">
        <w:rPr>
          <w:sz w:val="22"/>
          <w:szCs w:val="22"/>
          <w:lang w:val="en-GB"/>
        </w:rPr>
        <w:t xml:space="preserve">ultural </w:t>
      </w:r>
      <w:r w:rsidR="00A06918" w:rsidRPr="00755161">
        <w:rPr>
          <w:sz w:val="22"/>
          <w:szCs w:val="22"/>
          <w:lang w:val="en-GB"/>
        </w:rPr>
        <w:t>p</w:t>
      </w:r>
      <w:r w:rsidRPr="00755161">
        <w:rPr>
          <w:sz w:val="22"/>
          <w:szCs w:val="22"/>
          <w:lang w:val="en-GB"/>
        </w:rPr>
        <w:t xml:space="preserve">olitics and the East European ‘Other’. In </w:t>
      </w:r>
      <w:proofErr w:type="spellStart"/>
      <w:r w:rsidR="00554D83" w:rsidRPr="00755161">
        <w:rPr>
          <w:sz w:val="22"/>
          <w:szCs w:val="22"/>
          <w:lang w:val="en-GB"/>
        </w:rPr>
        <w:t>Boéri</w:t>
      </w:r>
      <w:proofErr w:type="spellEnd"/>
      <w:r w:rsidR="00554D83" w:rsidRPr="00755161">
        <w:rPr>
          <w:sz w:val="22"/>
          <w:szCs w:val="22"/>
          <w:lang w:val="en-GB"/>
        </w:rPr>
        <w:t xml:space="preserve">, </w:t>
      </w:r>
      <w:r w:rsidR="00A06918" w:rsidRPr="00755161">
        <w:rPr>
          <w:sz w:val="22"/>
          <w:szCs w:val="22"/>
          <w:lang w:val="en-GB"/>
        </w:rPr>
        <w:t>J</w:t>
      </w:r>
      <w:r w:rsidR="006C6489">
        <w:rPr>
          <w:sz w:val="22"/>
          <w:szCs w:val="22"/>
          <w:lang w:val="en-GB"/>
        </w:rPr>
        <w:t>ulie</w:t>
      </w:r>
      <w:r w:rsidR="00424F1B" w:rsidRPr="00755161">
        <w:rPr>
          <w:sz w:val="22"/>
          <w:szCs w:val="22"/>
          <w:lang w:val="en-GB"/>
        </w:rPr>
        <w:t xml:space="preserve"> &amp;</w:t>
      </w:r>
      <w:r w:rsidR="00554D83" w:rsidRPr="00755161">
        <w:rPr>
          <w:sz w:val="22"/>
          <w:szCs w:val="22"/>
          <w:lang w:val="en-GB"/>
        </w:rPr>
        <w:t xml:space="preserve"> Maier, </w:t>
      </w:r>
      <w:r w:rsidR="00A06918" w:rsidRPr="00755161">
        <w:rPr>
          <w:sz w:val="22"/>
          <w:szCs w:val="22"/>
          <w:lang w:val="en-GB"/>
        </w:rPr>
        <w:t>C</w:t>
      </w:r>
      <w:r w:rsidR="006C6489">
        <w:rPr>
          <w:sz w:val="22"/>
          <w:szCs w:val="22"/>
          <w:lang w:val="en-GB"/>
        </w:rPr>
        <w:t>arol</w:t>
      </w:r>
      <w:r w:rsidR="00424F1B" w:rsidRPr="00755161">
        <w:rPr>
          <w:sz w:val="22"/>
          <w:szCs w:val="22"/>
          <w:lang w:val="en-GB"/>
        </w:rPr>
        <w:t xml:space="preserve"> (eds.), </w:t>
      </w:r>
      <w:proofErr w:type="spellStart"/>
      <w:r w:rsidRPr="00755161">
        <w:rPr>
          <w:i/>
          <w:iCs/>
          <w:sz w:val="22"/>
          <w:szCs w:val="22"/>
          <w:lang w:val="en-GB"/>
        </w:rPr>
        <w:t>Compromiso</w:t>
      </w:r>
      <w:proofErr w:type="spellEnd"/>
      <w:r w:rsidRPr="00755161">
        <w:rPr>
          <w:i/>
          <w:iCs/>
          <w:sz w:val="22"/>
          <w:szCs w:val="22"/>
          <w:lang w:val="en-GB"/>
        </w:rPr>
        <w:t xml:space="preserve"> Social y </w:t>
      </w:r>
      <w:proofErr w:type="spellStart"/>
      <w:r w:rsidRPr="00755161">
        <w:rPr>
          <w:i/>
          <w:iCs/>
          <w:sz w:val="22"/>
          <w:szCs w:val="22"/>
          <w:lang w:val="en-GB"/>
        </w:rPr>
        <w:t>Traducción</w:t>
      </w:r>
      <w:proofErr w:type="spellEnd"/>
      <w:r w:rsidRPr="00755161">
        <w:rPr>
          <w:i/>
          <w:iCs/>
          <w:sz w:val="22"/>
          <w:szCs w:val="22"/>
          <w:lang w:val="en-GB"/>
        </w:rPr>
        <w:t>/</w:t>
      </w:r>
      <w:proofErr w:type="spellStart"/>
      <w:r w:rsidRPr="00755161">
        <w:rPr>
          <w:i/>
          <w:iCs/>
          <w:sz w:val="22"/>
          <w:szCs w:val="22"/>
          <w:lang w:val="en-GB"/>
        </w:rPr>
        <w:t>Interpretación</w:t>
      </w:r>
      <w:proofErr w:type="spellEnd"/>
      <w:r w:rsidRPr="00755161">
        <w:rPr>
          <w:i/>
          <w:iCs/>
          <w:sz w:val="22"/>
          <w:szCs w:val="22"/>
          <w:lang w:val="en-GB"/>
        </w:rPr>
        <w:t>. Translation/Interpret</w:t>
      </w:r>
      <w:r w:rsidR="00554D83" w:rsidRPr="00755161">
        <w:rPr>
          <w:i/>
          <w:iCs/>
          <w:sz w:val="22"/>
          <w:szCs w:val="22"/>
          <w:lang w:val="en-GB"/>
        </w:rPr>
        <w:t>in</w:t>
      </w:r>
      <w:r w:rsidRPr="00755161">
        <w:rPr>
          <w:i/>
          <w:iCs/>
          <w:sz w:val="22"/>
          <w:szCs w:val="22"/>
          <w:lang w:val="en-GB"/>
        </w:rPr>
        <w:t>g and Social Activism</w:t>
      </w:r>
      <w:r w:rsidR="00723C37">
        <w:rPr>
          <w:sz w:val="22"/>
          <w:szCs w:val="22"/>
          <w:lang w:val="en-GB"/>
        </w:rPr>
        <w:t xml:space="preserve">. </w:t>
      </w:r>
      <w:r w:rsidRPr="00755161">
        <w:rPr>
          <w:sz w:val="22"/>
          <w:szCs w:val="22"/>
          <w:lang w:val="en-GB"/>
        </w:rPr>
        <w:t>Granada: ECOS.</w:t>
      </w:r>
      <w:r w:rsidR="00723C37">
        <w:rPr>
          <w:sz w:val="22"/>
          <w:szCs w:val="22"/>
          <w:lang w:val="en-GB"/>
        </w:rPr>
        <w:t xml:space="preserve"> </w:t>
      </w:r>
      <w:r w:rsidR="00723C37" w:rsidRPr="00755161">
        <w:rPr>
          <w:sz w:val="22"/>
          <w:szCs w:val="22"/>
          <w:lang w:val="en-GB"/>
        </w:rPr>
        <w:t>48</w:t>
      </w:r>
      <w:r w:rsidR="00123570">
        <w:rPr>
          <w:sz w:val="22"/>
          <w:szCs w:val="22"/>
          <w:lang w:val="en-GB"/>
        </w:rPr>
        <w:t>–</w:t>
      </w:r>
      <w:r w:rsidR="00723C37" w:rsidRPr="00755161">
        <w:rPr>
          <w:sz w:val="22"/>
          <w:szCs w:val="22"/>
          <w:lang w:val="en-GB"/>
        </w:rPr>
        <w:t>58.</w:t>
      </w:r>
    </w:p>
    <w:p w14:paraId="235B9188" w14:textId="1C8BF78A" w:rsidR="00954BAD" w:rsidRPr="00755161" w:rsidRDefault="00954BAD" w:rsidP="00755F5C">
      <w:pPr>
        <w:spacing w:after="160"/>
        <w:ind w:left="709" w:hanging="720"/>
        <w:jc w:val="both"/>
        <w:rPr>
          <w:sz w:val="22"/>
          <w:szCs w:val="22"/>
          <w:lang w:val="en-GB"/>
        </w:rPr>
      </w:pPr>
      <w:r w:rsidRPr="00755161">
        <w:rPr>
          <w:sz w:val="22"/>
          <w:szCs w:val="22"/>
          <w:lang w:val="en-GB"/>
        </w:rPr>
        <w:t>Doorslaer, L</w:t>
      </w:r>
      <w:r w:rsidR="001117F7" w:rsidRPr="00755161">
        <w:rPr>
          <w:sz w:val="22"/>
          <w:szCs w:val="22"/>
          <w:lang w:val="en-GB"/>
        </w:rPr>
        <w:t>uc</w:t>
      </w:r>
      <w:r w:rsidRPr="00755161">
        <w:rPr>
          <w:sz w:val="22"/>
          <w:szCs w:val="22"/>
          <w:lang w:val="en-GB"/>
        </w:rPr>
        <w:t xml:space="preserve"> V. 2007. Risking conceptual maps: Mapping as a keywords-related tool underlying the online Translation Studies Bibliography. </w:t>
      </w:r>
      <w:r w:rsidRPr="00755161">
        <w:rPr>
          <w:i/>
          <w:iCs/>
          <w:sz w:val="22"/>
          <w:szCs w:val="22"/>
          <w:lang w:val="en-GB"/>
        </w:rPr>
        <w:t>Target</w:t>
      </w:r>
      <w:r w:rsidRPr="00755161">
        <w:rPr>
          <w:sz w:val="22"/>
          <w:szCs w:val="22"/>
          <w:lang w:val="en-GB"/>
        </w:rPr>
        <w:t xml:space="preserve"> 19(2)</w:t>
      </w:r>
      <w:r w:rsidR="00723C37">
        <w:rPr>
          <w:sz w:val="22"/>
          <w:szCs w:val="22"/>
          <w:lang w:val="en-GB"/>
        </w:rPr>
        <w:t>:</w:t>
      </w:r>
      <w:r w:rsidRPr="00755161">
        <w:rPr>
          <w:sz w:val="22"/>
          <w:szCs w:val="22"/>
          <w:lang w:val="en-GB"/>
        </w:rPr>
        <w:t xml:space="preserve"> 217</w:t>
      </w:r>
      <w:r w:rsidR="00123570">
        <w:rPr>
          <w:sz w:val="22"/>
          <w:szCs w:val="22"/>
          <w:lang w:val="en-GB"/>
        </w:rPr>
        <w:t>–</w:t>
      </w:r>
      <w:r w:rsidRPr="00755161">
        <w:rPr>
          <w:sz w:val="22"/>
          <w:szCs w:val="22"/>
          <w:lang w:val="en-GB"/>
        </w:rPr>
        <w:t>233.</w:t>
      </w:r>
    </w:p>
    <w:p w14:paraId="67AE387D" w14:textId="3450D86F" w:rsidR="00954BAD" w:rsidRPr="00755161" w:rsidRDefault="00954BAD" w:rsidP="00755F5C">
      <w:pPr>
        <w:spacing w:after="160"/>
        <w:ind w:left="709" w:hanging="720"/>
        <w:jc w:val="both"/>
        <w:rPr>
          <w:sz w:val="22"/>
          <w:szCs w:val="22"/>
          <w:lang w:val="en-GB"/>
        </w:rPr>
      </w:pPr>
      <w:r w:rsidRPr="00755161">
        <w:rPr>
          <w:sz w:val="22"/>
          <w:szCs w:val="22"/>
          <w:lang w:val="en-GB"/>
        </w:rPr>
        <w:t>Dörnyei, Z</w:t>
      </w:r>
      <w:r w:rsidR="001B4EC4" w:rsidRPr="00755161">
        <w:rPr>
          <w:sz w:val="22"/>
          <w:szCs w:val="22"/>
          <w:lang w:val="en-GB"/>
        </w:rPr>
        <w:t>oltan</w:t>
      </w:r>
      <w:r w:rsidRPr="00755161">
        <w:rPr>
          <w:sz w:val="22"/>
          <w:szCs w:val="22"/>
          <w:lang w:val="en-GB"/>
        </w:rPr>
        <w:t xml:space="preserve">. 2007. </w:t>
      </w:r>
      <w:r w:rsidRPr="00755161">
        <w:rPr>
          <w:i/>
          <w:iCs/>
          <w:sz w:val="22"/>
          <w:szCs w:val="22"/>
          <w:lang w:val="en-GB"/>
        </w:rPr>
        <w:t>Research Methods in Applied Linguistics</w:t>
      </w:r>
      <w:r w:rsidRPr="00755161">
        <w:rPr>
          <w:sz w:val="22"/>
          <w:szCs w:val="22"/>
          <w:lang w:val="en-GB"/>
        </w:rPr>
        <w:t>. Oxford: OUP.</w:t>
      </w:r>
    </w:p>
    <w:p w14:paraId="78DA535D" w14:textId="13AECF3B"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Gouanvic</w:t>
      </w:r>
      <w:proofErr w:type="spellEnd"/>
      <w:r w:rsidRPr="00755161">
        <w:rPr>
          <w:sz w:val="22"/>
          <w:szCs w:val="22"/>
          <w:lang w:val="en-GB"/>
        </w:rPr>
        <w:t xml:space="preserve">, </w:t>
      </w:r>
      <w:r w:rsidR="00DB3CF4" w:rsidRPr="00755161">
        <w:rPr>
          <w:sz w:val="22"/>
          <w:szCs w:val="22"/>
          <w:lang w:val="en-GB"/>
        </w:rPr>
        <w:t>Jean-Marc</w:t>
      </w:r>
      <w:r w:rsidRPr="00755161">
        <w:rPr>
          <w:sz w:val="22"/>
          <w:szCs w:val="22"/>
          <w:lang w:val="en-GB"/>
        </w:rPr>
        <w:t xml:space="preserve">. 2005. A </w:t>
      </w:r>
      <w:proofErr w:type="spellStart"/>
      <w:r w:rsidRPr="00755161">
        <w:rPr>
          <w:sz w:val="22"/>
          <w:szCs w:val="22"/>
          <w:lang w:val="en-GB"/>
        </w:rPr>
        <w:t>Bourdieusian</w:t>
      </w:r>
      <w:proofErr w:type="spellEnd"/>
      <w:r w:rsidRPr="00755161">
        <w:rPr>
          <w:sz w:val="22"/>
          <w:szCs w:val="22"/>
          <w:lang w:val="en-GB"/>
        </w:rPr>
        <w:t xml:space="preserve"> Theory of Translation, or the </w:t>
      </w:r>
      <w:r w:rsidR="005376BF">
        <w:rPr>
          <w:sz w:val="22"/>
          <w:szCs w:val="22"/>
          <w:lang w:val="en-GB"/>
        </w:rPr>
        <w:t>c</w:t>
      </w:r>
      <w:r w:rsidRPr="00755161">
        <w:rPr>
          <w:sz w:val="22"/>
          <w:szCs w:val="22"/>
          <w:lang w:val="en-GB"/>
        </w:rPr>
        <w:t xml:space="preserve">oincidence of </w:t>
      </w:r>
      <w:r w:rsidR="005376BF">
        <w:rPr>
          <w:sz w:val="22"/>
          <w:szCs w:val="22"/>
          <w:lang w:val="en-GB"/>
        </w:rPr>
        <w:t>p</w:t>
      </w:r>
      <w:r w:rsidRPr="00755161">
        <w:rPr>
          <w:sz w:val="22"/>
          <w:szCs w:val="22"/>
          <w:lang w:val="en-GB"/>
        </w:rPr>
        <w:t xml:space="preserve">ractical </w:t>
      </w:r>
      <w:r w:rsidR="005376BF">
        <w:rPr>
          <w:sz w:val="22"/>
          <w:szCs w:val="22"/>
          <w:lang w:val="en-GB"/>
        </w:rPr>
        <w:t>i</w:t>
      </w:r>
      <w:r w:rsidRPr="00755161">
        <w:rPr>
          <w:sz w:val="22"/>
          <w:szCs w:val="22"/>
          <w:lang w:val="en-GB"/>
        </w:rPr>
        <w:t>nstances: Field, ‘</w:t>
      </w:r>
      <w:r w:rsidR="005376BF">
        <w:rPr>
          <w:sz w:val="22"/>
          <w:szCs w:val="22"/>
          <w:lang w:val="en-GB"/>
        </w:rPr>
        <w:t>h</w:t>
      </w:r>
      <w:r w:rsidRPr="00755161">
        <w:rPr>
          <w:sz w:val="22"/>
          <w:szCs w:val="22"/>
          <w:lang w:val="en-GB"/>
        </w:rPr>
        <w:t xml:space="preserve">abitus’, </w:t>
      </w:r>
      <w:r w:rsidR="005376BF">
        <w:rPr>
          <w:sz w:val="22"/>
          <w:szCs w:val="22"/>
          <w:lang w:val="en-GB"/>
        </w:rPr>
        <w:t>c</w:t>
      </w:r>
      <w:r w:rsidRPr="00755161">
        <w:rPr>
          <w:sz w:val="22"/>
          <w:szCs w:val="22"/>
          <w:lang w:val="en-GB"/>
        </w:rPr>
        <w:t>apital and ‘</w:t>
      </w:r>
      <w:proofErr w:type="spellStart"/>
      <w:r w:rsidR="005376BF">
        <w:rPr>
          <w:sz w:val="22"/>
          <w:szCs w:val="22"/>
          <w:lang w:val="en-GB"/>
        </w:rPr>
        <w:t>i</w:t>
      </w:r>
      <w:r w:rsidRPr="00755161">
        <w:rPr>
          <w:sz w:val="22"/>
          <w:szCs w:val="22"/>
          <w:lang w:val="en-GB"/>
        </w:rPr>
        <w:t>llusio</w:t>
      </w:r>
      <w:proofErr w:type="spellEnd"/>
      <w:r w:rsidRPr="00755161">
        <w:rPr>
          <w:sz w:val="22"/>
          <w:szCs w:val="22"/>
          <w:lang w:val="en-GB"/>
        </w:rPr>
        <w:t xml:space="preserve">’. </w:t>
      </w:r>
      <w:r w:rsidRPr="00755161">
        <w:rPr>
          <w:i/>
          <w:iCs/>
          <w:sz w:val="22"/>
          <w:szCs w:val="22"/>
          <w:lang w:val="en-GB"/>
        </w:rPr>
        <w:t>The Translator</w:t>
      </w:r>
      <w:r w:rsidRPr="00755161">
        <w:rPr>
          <w:sz w:val="22"/>
          <w:szCs w:val="22"/>
          <w:lang w:val="en-GB"/>
        </w:rPr>
        <w:t xml:space="preserve"> 11(2)</w:t>
      </w:r>
      <w:r w:rsidR="00723C37">
        <w:rPr>
          <w:sz w:val="22"/>
          <w:szCs w:val="22"/>
          <w:lang w:val="en-GB"/>
        </w:rPr>
        <w:t>:</w:t>
      </w:r>
      <w:r w:rsidRPr="00755161">
        <w:rPr>
          <w:sz w:val="22"/>
          <w:szCs w:val="22"/>
          <w:lang w:val="en-GB"/>
        </w:rPr>
        <w:t xml:space="preserve"> 147</w:t>
      </w:r>
      <w:r w:rsidR="00123570">
        <w:rPr>
          <w:sz w:val="22"/>
          <w:szCs w:val="22"/>
          <w:lang w:val="en-GB"/>
        </w:rPr>
        <w:t>–</w:t>
      </w:r>
      <w:r w:rsidRPr="00755161">
        <w:rPr>
          <w:sz w:val="22"/>
          <w:szCs w:val="22"/>
          <w:lang w:val="en-GB"/>
        </w:rPr>
        <w:t>166.</w:t>
      </w:r>
    </w:p>
    <w:p w14:paraId="6ABCFCC3" w14:textId="7E8A1E06"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Haddadian</w:t>
      </w:r>
      <w:proofErr w:type="spellEnd"/>
      <w:r w:rsidRPr="00755161">
        <w:rPr>
          <w:sz w:val="22"/>
          <w:szCs w:val="22"/>
          <w:lang w:val="en-GB"/>
        </w:rPr>
        <w:t xml:space="preserve">-Moghaddam, </w:t>
      </w:r>
      <w:r w:rsidR="001B4EC4" w:rsidRPr="00755161">
        <w:rPr>
          <w:sz w:val="22"/>
          <w:szCs w:val="22"/>
          <w:lang w:val="en-GB"/>
        </w:rPr>
        <w:t>Esmaeil</w:t>
      </w:r>
      <w:r w:rsidRPr="00755161">
        <w:rPr>
          <w:sz w:val="22"/>
          <w:szCs w:val="22"/>
          <w:lang w:val="en-GB"/>
        </w:rPr>
        <w:t xml:space="preserve">. 2014. </w:t>
      </w:r>
      <w:r w:rsidRPr="00755161">
        <w:rPr>
          <w:i/>
          <w:iCs/>
          <w:sz w:val="22"/>
          <w:szCs w:val="22"/>
          <w:lang w:val="en-GB"/>
        </w:rPr>
        <w:t>Literary translation in modern Iran: A sociological study</w:t>
      </w:r>
      <w:r w:rsidRPr="00755161">
        <w:rPr>
          <w:sz w:val="22"/>
          <w:szCs w:val="22"/>
          <w:lang w:val="en-GB"/>
        </w:rPr>
        <w:t>. Amsterdam: John Benjamins.</w:t>
      </w:r>
    </w:p>
    <w:p w14:paraId="604C1976" w14:textId="642707CA" w:rsidR="00954BAD" w:rsidRPr="00755161" w:rsidRDefault="00954BAD" w:rsidP="00755F5C">
      <w:pPr>
        <w:spacing w:after="160"/>
        <w:ind w:left="709" w:hanging="720"/>
        <w:jc w:val="both"/>
        <w:rPr>
          <w:sz w:val="22"/>
          <w:szCs w:val="22"/>
          <w:lang w:val="en-GB"/>
        </w:rPr>
      </w:pPr>
      <w:r w:rsidRPr="00755161">
        <w:rPr>
          <w:sz w:val="22"/>
          <w:szCs w:val="22"/>
          <w:lang w:val="en-GB"/>
        </w:rPr>
        <w:t xml:space="preserve">Heilbron, </w:t>
      </w:r>
      <w:r w:rsidR="00D74A79" w:rsidRPr="00755161">
        <w:rPr>
          <w:sz w:val="22"/>
          <w:szCs w:val="22"/>
          <w:lang w:val="en-GB"/>
        </w:rPr>
        <w:t>Johan</w:t>
      </w:r>
      <w:r w:rsidRPr="00755161">
        <w:rPr>
          <w:sz w:val="22"/>
          <w:szCs w:val="22"/>
          <w:lang w:val="en-GB"/>
        </w:rPr>
        <w:t xml:space="preserve"> </w:t>
      </w:r>
      <w:r w:rsidR="00C657A2" w:rsidRPr="00755161">
        <w:rPr>
          <w:sz w:val="22"/>
          <w:szCs w:val="22"/>
          <w:lang w:val="en-GB"/>
        </w:rPr>
        <w:t>&amp;</w:t>
      </w:r>
      <w:r w:rsidRPr="00755161">
        <w:rPr>
          <w:sz w:val="22"/>
          <w:szCs w:val="22"/>
          <w:lang w:val="en-GB"/>
        </w:rPr>
        <w:t xml:space="preserve"> Sapiro</w:t>
      </w:r>
      <w:r w:rsidR="00D74A79" w:rsidRPr="00755161">
        <w:rPr>
          <w:sz w:val="22"/>
          <w:szCs w:val="22"/>
          <w:lang w:val="en-GB"/>
        </w:rPr>
        <w:t>, Gisèle</w:t>
      </w:r>
      <w:r w:rsidRPr="00755161">
        <w:rPr>
          <w:sz w:val="22"/>
          <w:szCs w:val="22"/>
          <w:lang w:val="en-GB"/>
        </w:rPr>
        <w:t>. 2007. Outline for a sociology of translation</w:t>
      </w:r>
      <w:r w:rsidR="00D74A79" w:rsidRPr="00755161">
        <w:rPr>
          <w:sz w:val="22"/>
          <w:szCs w:val="22"/>
          <w:lang w:val="en-GB"/>
        </w:rPr>
        <w:t>:</w:t>
      </w:r>
      <w:r w:rsidRPr="00755161">
        <w:rPr>
          <w:sz w:val="22"/>
          <w:szCs w:val="22"/>
          <w:lang w:val="en-GB"/>
        </w:rPr>
        <w:t xml:space="preserve"> Current issues and future prospects. </w:t>
      </w:r>
      <w:r w:rsidR="006C6D8B" w:rsidRPr="00755161">
        <w:rPr>
          <w:sz w:val="22"/>
          <w:szCs w:val="22"/>
          <w:lang w:val="en-GB"/>
        </w:rPr>
        <w:t>In Wolf, M</w:t>
      </w:r>
      <w:r w:rsidR="006C6489">
        <w:rPr>
          <w:sz w:val="22"/>
          <w:szCs w:val="22"/>
          <w:lang w:val="en-GB"/>
        </w:rPr>
        <w:t>ichaela</w:t>
      </w:r>
      <w:r w:rsidR="006C6D8B" w:rsidRPr="00755161">
        <w:rPr>
          <w:sz w:val="22"/>
          <w:szCs w:val="22"/>
          <w:lang w:val="en-GB"/>
        </w:rPr>
        <w:t xml:space="preserve"> &amp; </w:t>
      </w:r>
      <w:proofErr w:type="spellStart"/>
      <w:r w:rsidR="006C6D8B" w:rsidRPr="00755161">
        <w:rPr>
          <w:sz w:val="22"/>
          <w:szCs w:val="22"/>
          <w:lang w:val="en-GB"/>
        </w:rPr>
        <w:t>Fukari</w:t>
      </w:r>
      <w:proofErr w:type="spellEnd"/>
      <w:r w:rsidR="006C6D8B" w:rsidRPr="00755161">
        <w:rPr>
          <w:sz w:val="22"/>
          <w:szCs w:val="22"/>
          <w:lang w:val="en-GB"/>
        </w:rPr>
        <w:t>, A</w:t>
      </w:r>
      <w:r w:rsidR="006C6489">
        <w:rPr>
          <w:sz w:val="22"/>
          <w:szCs w:val="22"/>
          <w:lang w:val="en-GB"/>
        </w:rPr>
        <w:t>lexandra</w:t>
      </w:r>
      <w:r w:rsidR="006C6D8B" w:rsidRPr="00755161">
        <w:rPr>
          <w:sz w:val="22"/>
          <w:szCs w:val="22"/>
          <w:lang w:val="en-GB"/>
        </w:rPr>
        <w:t xml:space="preserve"> (eds.), </w:t>
      </w:r>
      <w:r w:rsidR="006C6D8B" w:rsidRPr="00755161">
        <w:rPr>
          <w:i/>
          <w:iCs/>
          <w:sz w:val="22"/>
          <w:szCs w:val="22"/>
          <w:lang w:val="en-GB"/>
        </w:rPr>
        <w:t>Constructing a sociology of translation</w:t>
      </w:r>
      <w:r w:rsidRPr="00755161">
        <w:rPr>
          <w:sz w:val="22"/>
          <w:szCs w:val="22"/>
          <w:lang w:val="en-GB"/>
        </w:rPr>
        <w:t>. Amsterdam: John Benjamins.</w:t>
      </w:r>
      <w:r w:rsidR="00DA1E59">
        <w:rPr>
          <w:sz w:val="22"/>
          <w:szCs w:val="22"/>
          <w:lang w:val="en-GB"/>
        </w:rPr>
        <w:t xml:space="preserve"> </w:t>
      </w:r>
      <w:r w:rsidR="00DA1E59" w:rsidRPr="00755161">
        <w:rPr>
          <w:sz w:val="22"/>
          <w:szCs w:val="22"/>
          <w:lang w:val="en-GB"/>
        </w:rPr>
        <w:t>93</w:t>
      </w:r>
      <w:r w:rsidR="00123570">
        <w:rPr>
          <w:sz w:val="22"/>
          <w:szCs w:val="22"/>
          <w:lang w:val="en-GB"/>
        </w:rPr>
        <w:t>–</w:t>
      </w:r>
      <w:r w:rsidR="00DA1E59" w:rsidRPr="00755161">
        <w:rPr>
          <w:sz w:val="22"/>
          <w:szCs w:val="22"/>
          <w:lang w:val="en-GB"/>
        </w:rPr>
        <w:t>108</w:t>
      </w:r>
      <w:r w:rsidR="00DA1E59">
        <w:rPr>
          <w:sz w:val="22"/>
          <w:szCs w:val="22"/>
          <w:lang w:val="en-GB"/>
        </w:rPr>
        <w:t>.</w:t>
      </w:r>
    </w:p>
    <w:p w14:paraId="73136757" w14:textId="72B0E0ED"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Inghilleri</w:t>
      </w:r>
      <w:proofErr w:type="spellEnd"/>
      <w:r w:rsidRPr="00755161">
        <w:rPr>
          <w:sz w:val="22"/>
          <w:szCs w:val="22"/>
          <w:lang w:val="en-GB"/>
        </w:rPr>
        <w:t xml:space="preserve">, </w:t>
      </w:r>
      <w:r w:rsidR="00DB3CF4" w:rsidRPr="00755161">
        <w:rPr>
          <w:sz w:val="22"/>
          <w:szCs w:val="22"/>
          <w:lang w:val="en-GB"/>
        </w:rPr>
        <w:t>Moira</w:t>
      </w:r>
      <w:r w:rsidRPr="00755161">
        <w:rPr>
          <w:sz w:val="22"/>
          <w:szCs w:val="22"/>
          <w:lang w:val="en-GB"/>
        </w:rPr>
        <w:t xml:space="preserve">. 2003. Habitus, </w:t>
      </w:r>
      <w:r w:rsidR="005376BF">
        <w:rPr>
          <w:sz w:val="22"/>
          <w:szCs w:val="22"/>
          <w:lang w:val="en-GB"/>
        </w:rPr>
        <w:t>f</w:t>
      </w:r>
      <w:r w:rsidRPr="00755161">
        <w:rPr>
          <w:sz w:val="22"/>
          <w:szCs w:val="22"/>
          <w:lang w:val="en-GB"/>
        </w:rPr>
        <w:t xml:space="preserve">ield and </w:t>
      </w:r>
      <w:r w:rsidR="005376BF">
        <w:rPr>
          <w:sz w:val="22"/>
          <w:szCs w:val="22"/>
          <w:lang w:val="en-GB"/>
        </w:rPr>
        <w:t>d</w:t>
      </w:r>
      <w:r w:rsidRPr="00755161">
        <w:rPr>
          <w:sz w:val="22"/>
          <w:szCs w:val="22"/>
          <w:lang w:val="en-GB"/>
        </w:rPr>
        <w:t xml:space="preserve">iscourse. Interpreting as a </w:t>
      </w:r>
      <w:r w:rsidR="005376BF">
        <w:rPr>
          <w:sz w:val="22"/>
          <w:szCs w:val="22"/>
          <w:lang w:val="en-GB"/>
        </w:rPr>
        <w:t>s</w:t>
      </w:r>
      <w:r w:rsidRPr="00755161">
        <w:rPr>
          <w:sz w:val="22"/>
          <w:szCs w:val="22"/>
          <w:lang w:val="en-GB"/>
        </w:rPr>
        <w:t xml:space="preserve">ocially </w:t>
      </w:r>
      <w:r w:rsidR="005376BF">
        <w:rPr>
          <w:sz w:val="22"/>
          <w:szCs w:val="22"/>
          <w:lang w:val="en-GB"/>
        </w:rPr>
        <w:t>s</w:t>
      </w:r>
      <w:r w:rsidRPr="00755161">
        <w:rPr>
          <w:sz w:val="22"/>
          <w:szCs w:val="22"/>
          <w:lang w:val="en-GB"/>
        </w:rPr>
        <w:t xml:space="preserve">ituated </w:t>
      </w:r>
      <w:r w:rsidR="005376BF">
        <w:rPr>
          <w:sz w:val="22"/>
          <w:szCs w:val="22"/>
          <w:lang w:val="en-GB"/>
        </w:rPr>
        <w:t>a</w:t>
      </w:r>
      <w:r w:rsidRPr="00755161">
        <w:rPr>
          <w:sz w:val="22"/>
          <w:szCs w:val="22"/>
          <w:lang w:val="en-GB"/>
        </w:rPr>
        <w:t xml:space="preserve">ctivity. </w:t>
      </w:r>
      <w:r w:rsidRPr="00755161">
        <w:rPr>
          <w:i/>
          <w:iCs/>
          <w:sz w:val="22"/>
          <w:szCs w:val="22"/>
          <w:lang w:val="en-GB"/>
        </w:rPr>
        <w:t>Target</w:t>
      </w:r>
      <w:r w:rsidRPr="00755161">
        <w:rPr>
          <w:sz w:val="22"/>
          <w:szCs w:val="22"/>
          <w:lang w:val="en-GB"/>
        </w:rPr>
        <w:t xml:space="preserve"> 15(2)</w:t>
      </w:r>
      <w:r w:rsidR="00DA1E59">
        <w:rPr>
          <w:sz w:val="22"/>
          <w:szCs w:val="22"/>
          <w:lang w:val="en-GB"/>
        </w:rPr>
        <w:t>:</w:t>
      </w:r>
      <w:r w:rsidRPr="00755161">
        <w:rPr>
          <w:sz w:val="22"/>
          <w:szCs w:val="22"/>
          <w:lang w:val="en-GB"/>
        </w:rPr>
        <w:t xml:space="preserve"> 243</w:t>
      </w:r>
      <w:r w:rsidR="00123570">
        <w:rPr>
          <w:sz w:val="22"/>
          <w:szCs w:val="22"/>
          <w:lang w:val="en-GB"/>
        </w:rPr>
        <w:t>–</w:t>
      </w:r>
      <w:r w:rsidRPr="00755161">
        <w:rPr>
          <w:sz w:val="22"/>
          <w:szCs w:val="22"/>
          <w:lang w:val="en-GB"/>
        </w:rPr>
        <w:t>268.</w:t>
      </w:r>
    </w:p>
    <w:p w14:paraId="4A7063CC" w14:textId="6968AAFD"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Inghilleri</w:t>
      </w:r>
      <w:proofErr w:type="spellEnd"/>
      <w:r w:rsidRPr="00755161">
        <w:rPr>
          <w:sz w:val="22"/>
          <w:szCs w:val="22"/>
          <w:lang w:val="en-GB"/>
        </w:rPr>
        <w:t xml:space="preserve">, </w:t>
      </w:r>
      <w:r w:rsidR="00DB3CF4" w:rsidRPr="00755161">
        <w:rPr>
          <w:sz w:val="22"/>
          <w:szCs w:val="22"/>
          <w:lang w:val="en-GB"/>
        </w:rPr>
        <w:t>Moira</w:t>
      </w:r>
      <w:r w:rsidRPr="00755161">
        <w:rPr>
          <w:sz w:val="22"/>
          <w:szCs w:val="22"/>
          <w:lang w:val="en-GB"/>
        </w:rPr>
        <w:t xml:space="preserve">. 2005. The Sociology of Bourdieu and the </w:t>
      </w:r>
      <w:r w:rsidR="006C6489">
        <w:rPr>
          <w:sz w:val="22"/>
          <w:szCs w:val="22"/>
          <w:lang w:val="en-GB"/>
        </w:rPr>
        <w:t>c</w:t>
      </w:r>
      <w:r w:rsidRPr="00755161">
        <w:rPr>
          <w:sz w:val="22"/>
          <w:szCs w:val="22"/>
          <w:lang w:val="en-GB"/>
        </w:rPr>
        <w:t xml:space="preserve">onstruction of the </w:t>
      </w:r>
      <w:r w:rsidR="00DA1E59">
        <w:rPr>
          <w:sz w:val="22"/>
          <w:szCs w:val="22"/>
          <w:lang w:val="en-GB"/>
        </w:rPr>
        <w:t>‘</w:t>
      </w:r>
      <w:r w:rsidR="006C6489">
        <w:rPr>
          <w:sz w:val="22"/>
          <w:szCs w:val="22"/>
          <w:lang w:val="en-GB"/>
        </w:rPr>
        <w:t>o</w:t>
      </w:r>
      <w:r w:rsidRPr="00755161">
        <w:rPr>
          <w:sz w:val="22"/>
          <w:szCs w:val="22"/>
          <w:lang w:val="en-GB"/>
        </w:rPr>
        <w:t>bject</w:t>
      </w:r>
      <w:r w:rsidR="00DA1E59">
        <w:rPr>
          <w:sz w:val="22"/>
          <w:szCs w:val="22"/>
          <w:lang w:val="en-GB"/>
        </w:rPr>
        <w:t>’</w:t>
      </w:r>
      <w:r w:rsidRPr="00755161">
        <w:rPr>
          <w:sz w:val="22"/>
          <w:szCs w:val="22"/>
          <w:lang w:val="en-GB"/>
        </w:rPr>
        <w:t xml:space="preserve"> in </w:t>
      </w:r>
      <w:r w:rsidR="006C6489">
        <w:rPr>
          <w:sz w:val="22"/>
          <w:szCs w:val="22"/>
          <w:lang w:val="en-GB"/>
        </w:rPr>
        <w:t>t</w:t>
      </w:r>
      <w:r w:rsidRPr="00755161">
        <w:rPr>
          <w:sz w:val="22"/>
          <w:szCs w:val="22"/>
          <w:lang w:val="en-GB"/>
        </w:rPr>
        <w:t xml:space="preserve">ranslation and </w:t>
      </w:r>
      <w:r w:rsidR="005376BF">
        <w:rPr>
          <w:sz w:val="22"/>
          <w:szCs w:val="22"/>
          <w:lang w:val="en-GB"/>
        </w:rPr>
        <w:t>i</w:t>
      </w:r>
      <w:r w:rsidRPr="00755161">
        <w:rPr>
          <w:sz w:val="22"/>
          <w:szCs w:val="22"/>
          <w:lang w:val="en-GB"/>
        </w:rPr>
        <w:t xml:space="preserve">nterpreting Studies. </w:t>
      </w:r>
      <w:r w:rsidRPr="00755161">
        <w:rPr>
          <w:i/>
          <w:iCs/>
          <w:sz w:val="22"/>
          <w:szCs w:val="22"/>
          <w:lang w:val="en-GB"/>
        </w:rPr>
        <w:t>The Translator</w:t>
      </w:r>
      <w:r w:rsidRPr="00755161">
        <w:rPr>
          <w:sz w:val="22"/>
          <w:szCs w:val="22"/>
          <w:lang w:val="en-GB"/>
        </w:rPr>
        <w:t xml:space="preserve"> 11(2)</w:t>
      </w:r>
      <w:r w:rsidR="00DA1E59">
        <w:rPr>
          <w:sz w:val="22"/>
          <w:szCs w:val="22"/>
          <w:lang w:val="en-GB"/>
        </w:rPr>
        <w:t>:</w:t>
      </w:r>
      <w:r w:rsidRPr="00755161">
        <w:rPr>
          <w:sz w:val="22"/>
          <w:szCs w:val="22"/>
          <w:lang w:val="en-GB"/>
        </w:rPr>
        <w:t xml:space="preserve"> 25</w:t>
      </w:r>
      <w:r w:rsidR="00123570">
        <w:rPr>
          <w:sz w:val="22"/>
          <w:szCs w:val="22"/>
          <w:lang w:val="en-GB"/>
        </w:rPr>
        <w:t>–</w:t>
      </w:r>
      <w:r w:rsidRPr="00755161">
        <w:rPr>
          <w:sz w:val="22"/>
          <w:szCs w:val="22"/>
          <w:lang w:val="en-GB"/>
        </w:rPr>
        <w:t>145. doi.org/10.1080/13556509.2005.10799195</w:t>
      </w:r>
      <w:r w:rsidR="00A50A04">
        <w:rPr>
          <w:sz w:val="22"/>
          <w:szCs w:val="22"/>
          <w:lang w:val="en-GB"/>
        </w:rPr>
        <w:t>.</w:t>
      </w:r>
    </w:p>
    <w:p w14:paraId="33931D9E" w14:textId="388C3285"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Inghilleri</w:t>
      </w:r>
      <w:proofErr w:type="spellEnd"/>
      <w:r w:rsidRPr="00755161">
        <w:rPr>
          <w:sz w:val="22"/>
          <w:szCs w:val="22"/>
          <w:lang w:val="en-GB"/>
        </w:rPr>
        <w:t xml:space="preserve">, </w:t>
      </w:r>
      <w:r w:rsidR="00DB3CF4" w:rsidRPr="00755161">
        <w:rPr>
          <w:sz w:val="22"/>
          <w:szCs w:val="22"/>
          <w:lang w:val="en-GB"/>
        </w:rPr>
        <w:t>Moira</w:t>
      </w:r>
      <w:r w:rsidRPr="00755161">
        <w:rPr>
          <w:sz w:val="22"/>
          <w:szCs w:val="22"/>
          <w:lang w:val="en-GB"/>
        </w:rPr>
        <w:t xml:space="preserve">. 2009. Sociological approaches. In </w:t>
      </w:r>
      <w:r w:rsidR="00637D84" w:rsidRPr="00755161">
        <w:rPr>
          <w:sz w:val="22"/>
          <w:szCs w:val="22"/>
          <w:lang w:val="en-GB"/>
        </w:rPr>
        <w:t>Baker, M</w:t>
      </w:r>
      <w:r w:rsidR="006C6489">
        <w:rPr>
          <w:sz w:val="22"/>
          <w:szCs w:val="22"/>
          <w:lang w:val="en-GB"/>
        </w:rPr>
        <w:t>ona</w:t>
      </w:r>
      <w:r w:rsidR="00637D84" w:rsidRPr="00755161">
        <w:rPr>
          <w:sz w:val="22"/>
          <w:szCs w:val="22"/>
          <w:lang w:val="en-GB"/>
        </w:rPr>
        <w:t xml:space="preserve"> &amp; Saldanha, G</w:t>
      </w:r>
      <w:r w:rsidR="006C6489">
        <w:rPr>
          <w:sz w:val="22"/>
          <w:szCs w:val="22"/>
          <w:lang w:val="en-GB"/>
        </w:rPr>
        <w:t>abriela</w:t>
      </w:r>
      <w:r w:rsidR="00637D84" w:rsidRPr="00755161">
        <w:rPr>
          <w:sz w:val="22"/>
          <w:szCs w:val="22"/>
          <w:lang w:val="en-GB"/>
        </w:rPr>
        <w:t xml:space="preserve"> (eds.), </w:t>
      </w:r>
      <w:r w:rsidRPr="00755161">
        <w:rPr>
          <w:i/>
          <w:iCs/>
          <w:sz w:val="22"/>
          <w:szCs w:val="22"/>
          <w:lang w:val="en-GB"/>
        </w:rPr>
        <w:t>Routledge Encyclopaedia of Translation Studies</w:t>
      </w:r>
      <w:r w:rsidR="00DA1E59">
        <w:rPr>
          <w:sz w:val="22"/>
          <w:szCs w:val="22"/>
          <w:lang w:val="en-GB"/>
        </w:rPr>
        <w:t xml:space="preserve">. </w:t>
      </w:r>
      <w:r w:rsidRPr="00755161">
        <w:rPr>
          <w:sz w:val="22"/>
          <w:szCs w:val="22"/>
          <w:lang w:val="en-GB"/>
        </w:rPr>
        <w:t>Abingdon</w:t>
      </w:r>
      <w:r w:rsidR="00637D84" w:rsidRPr="00755161">
        <w:rPr>
          <w:sz w:val="22"/>
          <w:szCs w:val="22"/>
          <w:lang w:val="en-GB"/>
        </w:rPr>
        <w:t>;</w:t>
      </w:r>
      <w:r w:rsidRPr="00755161">
        <w:rPr>
          <w:sz w:val="22"/>
          <w:szCs w:val="22"/>
          <w:lang w:val="en-GB"/>
        </w:rPr>
        <w:t xml:space="preserve"> New York: Routledge.</w:t>
      </w:r>
      <w:r w:rsidR="00DA1E59">
        <w:rPr>
          <w:sz w:val="22"/>
          <w:szCs w:val="22"/>
          <w:lang w:val="en-GB"/>
        </w:rPr>
        <w:t xml:space="preserve"> </w:t>
      </w:r>
      <w:r w:rsidR="00DA1E59" w:rsidRPr="00755161">
        <w:rPr>
          <w:sz w:val="22"/>
          <w:szCs w:val="22"/>
          <w:lang w:val="en-GB"/>
        </w:rPr>
        <w:t>279</w:t>
      </w:r>
      <w:r w:rsidR="00123570">
        <w:rPr>
          <w:sz w:val="22"/>
          <w:szCs w:val="22"/>
          <w:lang w:val="en-GB"/>
        </w:rPr>
        <w:t>–</w:t>
      </w:r>
      <w:r w:rsidR="00DA1E59" w:rsidRPr="00755161">
        <w:rPr>
          <w:sz w:val="22"/>
          <w:szCs w:val="22"/>
          <w:lang w:val="en-GB"/>
        </w:rPr>
        <w:t>282.</w:t>
      </w:r>
    </w:p>
    <w:p w14:paraId="1E44C8E2" w14:textId="0714882D"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Karimnia</w:t>
      </w:r>
      <w:proofErr w:type="spellEnd"/>
      <w:r w:rsidRPr="00755161">
        <w:rPr>
          <w:sz w:val="22"/>
          <w:szCs w:val="22"/>
          <w:lang w:val="en-GB"/>
        </w:rPr>
        <w:t>, A</w:t>
      </w:r>
      <w:r w:rsidR="00065530" w:rsidRPr="00755161">
        <w:rPr>
          <w:sz w:val="22"/>
          <w:szCs w:val="22"/>
          <w:lang w:val="en-GB"/>
        </w:rPr>
        <w:t>min</w:t>
      </w:r>
      <w:r w:rsidRPr="00755161">
        <w:rPr>
          <w:sz w:val="22"/>
          <w:szCs w:val="22"/>
          <w:lang w:val="en-GB"/>
        </w:rPr>
        <w:t xml:space="preserve"> </w:t>
      </w:r>
      <w:r w:rsidR="00C657A2" w:rsidRPr="00755161">
        <w:rPr>
          <w:sz w:val="22"/>
          <w:szCs w:val="22"/>
          <w:lang w:val="en-GB"/>
        </w:rPr>
        <w:t>&amp;</w:t>
      </w:r>
      <w:r w:rsidRPr="00755161">
        <w:rPr>
          <w:sz w:val="22"/>
          <w:szCs w:val="22"/>
          <w:lang w:val="en-GB"/>
        </w:rPr>
        <w:t xml:space="preserve"> </w:t>
      </w:r>
      <w:proofErr w:type="spellStart"/>
      <w:r w:rsidRPr="00755161">
        <w:rPr>
          <w:sz w:val="22"/>
          <w:szCs w:val="22"/>
          <w:lang w:val="en-GB"/>
        </w:rPr>
        <w:t>Aboutalebi</w:t>
      </w:r>
      <w:proofErr w:type="spellEnd"/>
      <w:r w:rsidR="00065530" w:rsidRPr="00755161">
        <w:rPr>
          <w:sz w:val="22"/>
          <w:szCs w:val="22"/>
          <w:lang w:val="en-GB"/>
        </w:rPr>
        <w:t>, Azadeh</w:t>
      </w:r>
      <w:r w:rsidRPr="00755161">
        <w:rPr>
          <w:sz w:val="22"/>
          <w:szCs w:val="22"/>
          <w:lang w:val="en-GB"/>
        </w:rPr>
        <w:t xml:space="preserve">. 2014. A Meta-Analysis of </w:t>
      </w:r>
      <w:r w:rsidR="005376BF">
        <w:rPr>
          <w:sz w:val="22"/>
          <w:szCs w:val="22"/>
          <w:lang w:val="en-GB"/>
        </w:rPr>
        <w:t>p</w:t>
      </w:r>
      <w:r w:rsidRPr="00755161">
        <w:rPr>
          <w:sz w:val="22"/>
          <w:szCs w:val="22"/>
          <w:lang w:val="en-GB"/>
        </w:rPr>
        <w:t xml:space="preserve">apers </w:t>
      </w:r>
      <w:r w:rsidR="005376BF">
        <w:rPr>
          <w:sz w:val="22"/>
          <w:szCs w:val="22"/>
          <w:lang w:val="en-GB"/>
        </w:rPr>
        <w:t>p</w:t>
      </w:r>
      <w:r w:rsidRPr="00755161">
        <w:rPr>
          <w:sz w:val="22"/>
          <w:szCs w:val="22"/>
          <w:lang w:val="en-GB"/>
        </w:rPr>
        <w:t xml:space="preserve">ublished in </w:t>
      </w:r>
      <w:r w:rsidR="005376BF">
        <w:rPr>
          <w:sz w:val="22"/>
          <w:szCs w:val="22"/>
          <w:lang w:val="en-GB"/>
        </w:rPr>
        <w:t>t</w:t>
      </w:r>
      <w:r w:rsidRPr="00755161">
        <w:rPr>
          <w:sz w:val="22"/>
          <w:szCs w:val="22"/>
          <w:lang w:val="en-GB"/>
        </w:rPr>
        <w:t xml:space="preserve">ranslation </w:t>
      </w:r>
      <w:r w:rsidR="005376BF">
        <w:rPr>
          <w:sz w:val="22"/>
          <w:szCs w:val="22"/>
          <w:lang w:val="en-GB"/>
        </w:rPr>
        <w:t>s</w:t>
      </w:r>
      <w:r w:rsidRPr="00755161">
        <w:rPr>
          <w:sz w:val="22"/>
          <w:szCs w:val="22"/>
          <w:lang w:val="en-GB"/>
        </w:rPr>
        <w:t xml:space="preserve">tudies </w:t>
      </w:r>
      <w:r w:rsidR="005376BF">
        <w:rPr>
          <w:sz w:val="22"/>
          <w:szCs w:val="22"/>
          <w:lang w:val="en-GB"/>
        </w:rPr>
        <w:t>j</w:t>
      </w:r>
      <w:r w:rsidRPr="00755161">
        <w:rPr>
          <w:sz w:val="22"/>
          <w:szCs w:val="22"/>
          <w:lang w:val="en-GB"/>
        </w:rPr>
        <w:t xml:space="preserve">ournal </w:t>
      </w:r>
      <w:r w:rsidR="005376BF">
        <w:rPr>
          <w:sz w:val="22"/>
          <w:szCs w:val="22"/>
          <w:lang w:val="en-GB"/>
        </w:rPr>
        <w:t>o</w:t>
      </w:r>
      <w:r w:rsidRPr="00755161">
        <w:rPr>
          <w:sz w:val="22"/>
          <w:szCs w:val="22"/>
          <w:lang w:val="en-GB"/>
        </w:rPr>
        <w:t xml:space="preserve">ver the </w:t>
      </w:r>
      <w:r w:rsidR="005376BF">
        <w:rPr>
          <w:sz w:val="22"/>
          <w:szCs w:val="22"/>
          <w:lang w:val="en-GB"/>
        </w:rPr>
        <w:t>p</w:t>
      </w:r>
      <w:r w:rsidRPr="00755161">
        <w:rPr>
          <w:sz w:val="22"/>
          <w:szCs w:val="22"/>
          <w:lang w:val="en-GB"/>
        </w:rPr>
        <w:t xml:space="preserve">eriod 2002–2012 Based on Chesterman’s </w:t>
      </w:r>
      <w:r w:rsidR="005376BF">
        <w:rPr>
          <w:sz w:val="22"/>
          <w:szCs w:val="22"/>
          <w:lang w:val="en-GB"/>
        </w:rPr>
        <w:t>c</w:t>
      </w:r>
      <w:r w:rsidRPr="00755161">
        <w:rPr>
          <w:sz w:val="22"/>
          <w:szCs w:val="22"/>
          <w:lang w:val="en-GB"/>
        </w:rPr>
        <w:t xml:space="preserve">lassification of </w:t>
      </w:r>
      <w:r w:rsidR="005376BF">
        <w:rPr>
          <w:sz w:val="22"/>
          <w:szCs w:val="22"/>
          <w:lang w:val="en-GB"/>
        </w:rPr>
        <w:t>t</w:t>
      </w:r>
      <w:r w:rsidRPr="00755161">
        <w:rPr>
          <w:sz w:val="22"/>
          <w:szCs w:val="22"/>
          <w:lang w:val="en-GB"/>
        </w:rPr>
        <w:t xml:space="preserve">ranslation </w:t>
      </w:r>
      <w:r w:rsidR="005376BF">
        <w:rPr>
          <w:sz w:val="22"/>
          <w:szCs w:val="22"/>
          <w:lang w:val="en-GB"/>
        </w:rPr>
        <w:t>m</w:t>
      </w:r>
      <w:r w:rsidRPr="00755161">
        <w:rPr>
          <w:sz w:val="22"/>
          <w:szCs w:val="22"/>
          <w:lang w:val="en-GB"/>
        </w:rPr>
        <w:t xml:space="preserve">odels. </w:t>
      </w:r>
      <w:r w:rsidRPr="00755161">
        <w:rPr>
          <w:i/>
          <w:iCs/>
          <w:sz w:val="22"/>
          <w:szCs w:val="22"/>
          <w:lang w:val="en-GB"/>
        </w:rPr>
        <w:t>Iranian Journal of Translation Studies</w:t>
      </w:r>
      <w:r w:rsidRPr="00755161">
        <w:rPr>
          <w:sz w:val="22"/>
          <w:szCs w:val="22"/>
          <w:lang w:val="en-GB"/>
        </w:rPr>
        <w:t xml:space="preserve"> 11(44)</w:t>
      </w:r>
      <w:r w:rsidR="00D62D8F">
        <w:rPr>
          <w:sz w:val="22"/>
          <w:szCs w:val="22"/>
          <w:lang w:val="en-GB"/>
        </w:rPr>
        <w:t>:</w:t>
      </w:r>
      <w:r w:rsidRPr="00755161">
        <w:rPr>
          <w:sz w:val="22"/>
          <w:szCs w:val="22"/>
          <w:lang w:val="en-GB"/>
        </w:rPr>
        <w:t xml:space="preserve"> 7</w:t>
      </w:r>
      <w:r w:rsidR="00123570">
        <w:rPr>
          <w:sz w:val="22"/>
          <w:szCs w:val="22"/>
          <w:lang w:val="en-GB"/>
        </w:rPr>
        <w:t>–</w:t>
      </w:r>
      <w:r w:rsidRPr="00755161">
        <w:rPr>
          <w:sz w:val="22"/>
          <w:szCs w:val="22"/>
          <w:lang w:val="en-GB"/>
        </w:rPr>
        <w:t>22.</w:t>
      </w:r>
    </w:p>
    <w:p w14:paraId="28CF4DD8" w14:textId="6D21E5DB"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Karimnia</w:t>
      </w:r>
      <w:proofErr w:type="spellEnd"/>
      <w:r w:rsidRPr="00755161">
        <w:rPr>
          <w:sz w:val="22"/>
          <w:szCs w:val="22"/>
          <w:lang w:val="en-GB"/>
        </w:rPr>
        <w:t>, A</w:t>
      </w:r>
      <w:r w:rsidR="00065530" w:rsidRPr="00755161">
        <w:rPr>
          <w:sz w:val="22"/>
          <w:szCs w:val="22"/>
          <w:lang w:val="en-GB"/>
        </w:rPr>
        <w:t>min</w:t>
      </w:r>
      <w:r w:rsidRPr="00755161">
        <w:rPr>
          <w:sz w:val="22"/>
          <w:szCs w:val="22"/>
          <w:lang w:val="en-GB"/>
        </w:rPr>
        <w:t xml:space="preserve"> </w:t>
      </w:r>
      <w:r w:rsidR="00C657A2" w:rsidRPr="00755161">
        <w:rPr>
          <w:sz w:val="22"/>
          <w:szCs w:val="22"/>
          <w:lang w:val="en-GB"/>
        </w:rPr>
        <w:t>&amp;</w:t>
      </w:r>
      <w:r w:rsidRPr="00755161">
        <w:rPr>
          <w:sz w:val="22"/>
          <w:szCs w:val="22"/>
          <w:lang w:val="en-GB"/>
        </w:rPr>
        <w:t xml:space="preserve"> </w:t>
      </w:r>
      <w:proofErr w:type="spellStart"/>
      <w:r w:rsidRPr="00755161">
        <w:rPr>
          <w:sz w:val="22"/>
          <w:szCs w:val="22"/>
          <w:lang w:val="en-GB"/>
        </w:rPr>
        <w:t>Nouraey</w:t>
      </w:r>
      <w:proofErr w:type="spellEnd"/>
      <w:r w:rsidR="00065530" w:rsidRPr="00755161">
        <w:rPr>
          <w:sz w:val="22"/>
          <w:szCs w:val="22"/>
          <w:lang w:val="en-GB"/>
        </w:rPr>
        <w:t>, Peyman.</w:t>
      </w:r>
      <w:r w:rsidRPr="00755161">
        <w:rPr>
          <w:sz w:val="22"/>
          <w:szCs w:val="22"/>
          <w:lang w:val="en-GB"/>
        </w:rPr>
        <w:t xml:space="preserve"> 2013. Towards a </w:t>
      </w:r>
      <w:r w:rsidR="00BA54E1">
        <w:rPr>
          <w:sz w:val="22"/>
          <w:szCs w:val="22"/>
          <w:lang w:val="en-GB"/>
        </w:rPr>
        <w:t>g</w:t>
      </w:r>
      <w:r w:rsidRPr="00755161">
        <w:rPr>
          <w:sz w:val="22"/>
          <w:szCs w:val="22"/>
          <w:lang w:val="en-GB"/>
        </w:rPr>
        <w:t xml:space="preserve">lobal </w:t>
      </w:r>
      <w:r w:rsidR="00BA54E1">
        <w:rPr>
          <w:sz w:val="22"/>
          <w:szCs w:val="22"/>
          <w:lang w:val="en-GB"/>
        </w:rPr>
        <w:t>m</w:t>
      </w:r>
      <w:r w:rsidRPr="00755161">
        <w:rPr>
          <w:sz w:val="22"/>
          <w:szCs w:val="22"/>
          <w:lang w:val="en-GB"/>
        </w:rPr>
        <w:t xml:space="preserve">odel for </w:t>
      </w:r>
      <w:r w:rsidR="00BA54E1">
        <w:rPr>
          <w:sz w:val="22"/>
          <w:szCs w:val="22"/>
          <w:lang w:val="en-GB"/>
        </w:rPr>
        <w:t>t</w:t>
      </w:r>
      <w:r w:rsidRPr="00755161">
        <w:rPr>
          <w:sz w:val="22"/>
          <w:szCs w:val="22"/>
          <w:lang w:val="en-GB"/>
        </w:rPr>
        <w:t xml:space="preserve">ranslation </w:t>
      </w:r>
      <w:r w:rsidR="00BA54E1">
        <w:rPr>
          <w:sz w:val="22"/>
          <w:szCs w:val="22"/>
          <w:lang w:val="en-GB"/>
        </w:rPr>
        <w:t>s</w:t>
      </w:r>
      <w:r w:rsidRPr="00755161">
        <w:rPr>
          <w:sz w:val="22"/>
          <w:szCs w:val="22"/>
          <w:lang w:val="en-GB"/>
        </w:rPr>
        <w:t xml:space="preserve">tudies </w:t>
      </w:r>
      <w:r w:rsidR="00BA54E1">
        <w:rPr>
          <w:sz w:val="22"/>
          <w:szCs w:val="22"/>
          <w:lang w:val="en-GB"/>
        </w:rPr>
        <w:t>t</w:t>
      </w:r>
      <w:r w:rsidRPr="00755161">
        <w:rPr>
          <w:sz w:val="22"/>
          <w:szCs w:val="22"/>
          <w:lang w:val="en-GB"/>
        </w:rPr>
        <w:t xml:space="preserve">rends: Is </w:t>
      </w:r>
      <w:r w:rsidR="00BA54E1">
        <w:rPr>
          <w:sz w:val="22"/>
          <w:szCs w:val="22"/>
          <w:lang w:val="en-GB"/>
        </w:rPr>
        <w:t>i</w:t>
      </w:r>
      <w:r w:rsidRPr="00755161">
        <w:rPr>
          <w:sz w:val="22"/>
          <w:szCs w:val="22"/>
          <w:lang w:val="en-GB"/>
        </w:rPr>
        <w:t xml:space="preserve">t the </w:t>
      </w:r>
      <w:r w:rsidR="00BA54E1">
        <w:rPr>
          <w:sz w:val="22"/>
          <w:szCs w:val="22"/>
          <w:lang w:val="en-GB"/>
        </w:rPr>
        <w:t>q</w:t>
      </w:r>
      <w:r w:rsidRPr="00755161">
        <w:rPr>
          <w:sz w:val="22"/>
          <w:szCs w:val="22"/>
          <w:lang w:val="en-GB"/>
        </w:rPr>
        <w:t xml:space="preserve">uestion of </w:t>
      </w:r>
      <w:r w:rsidR="00BA54E1">
        <w:rPr>
          <w:sz w:val="22"/>
          <w:szCs w:val="22"/>
          <w:lang w:val="en-GB"/>
        </w:rPr>
        <w:t>b</w:t>
      </w:r>
      <w:r w:rsidRPr="00755161">
        <w:rPr>
          <w:sz w:val="22"/>
          <w:szCs w:val="22"/>
          <w:lang w:val="en-GB"/>
        </w:rPr>
        <w:t xml:space="preserve">acking to </w:t>
      </w:r>
      <w:r w:rsidR="00BA54E1">
        <w:rPr>
          <w:sz w:val="22"/>
          <w:szCs w:val="22"/>
          <w:lang w:val="en-GB"/>
        </w:rPr>
        <w:t>s</w:t>
      </w:r>
      <w:r w:rsidRPr="00755161">
        <w:rPr>
          <w:sz w:val="22"/>
          <w:szCs w:val="22"/>
          <w:lang w:val="en-GB"/>
        </w:rPr>
        <w:t xml:space="preserve">quare </w:t>
      </w:r>
      <w:r w:rsidR="00BA54E1">
        <w:rPr>
          <w:sz w:val="22"/>
          <w:szCs w:val="22"/>
          <w:lang w:val="en-GB"/>
        </w:rPr>
        <w:t>o</w:t>
      </w:r>
      <w:r w:rsidRPr="00755161">
        <w:rPr>
          <w:sz w:val="22"/>
          <w:szCs w:val="22"/>
          <w:lang w:val="en-GB"/>
        </w:rPr>
        <w:t xml:space="preserve">ne? </w:t>
      </w:r>
      <w:proofErr w:type="spellStart"/>
      <w:r w:rsidRPr="00755161">
        <w:rPr>
          <w:i/>
          <w:iCs/>
          <w:sz w:val="22"/>
          <w:szCs w:val="22"/>
          <w:lang w:val="en-GB"/>
        </w:rPr>
        <w:t>Wulfenia</w:t>
      </w:r>
      <w:proofErr w:type="spellEnd"/>
      <w:r w:rsidRPr="00755161">
        <w:rPr>
          <w:sz w:val="22"/>
          <w:szCs w:val="22"/>
          <w:lang w:val="en-GB"/>
        </w:rPr>
        <w:t xml:space="preserve"> 20(9)</w:t>
      </w:r>
      <w:r w:rsidR="00D62D8F">
        <w:rPr>
          <w:sz w:val="22"/>
          <w:szCs w:val="22"/>
          <w:lang w:val="en-GB"/>
        </w:rPr>
        <w:t>:</w:t>
      </w:r>
      <w:r w:rsidRPr="00755161">
        <w:rPr>
          <w:sz w:val="22"/>
          <w:szCs w:val="22"/>
          <w:lang w:val="en-GB"/>
        </w:rPr>
        <w:t xml:space="preserve"> 145</w:t>
      </w:r>
      <w:r w:rsidR="00123570">
        <w:rPr>
          <w:sz w:val="22"/>
          <w:szCs w:val="22"/>
          <w:lang w:val="en-GB"/>
        </w:rPr>
        <w:t>–</w:t>
      </w:r>
      <w:r w:rsidRPr="00755161">
        <w:rPr>
          <w:sz w:val="22"/>
          <w:szCs w:val="22"/>
          <w:lang w:val="en-GB"/>
        </w:rPr>
        <w:t>155.</w:t>
      </w:r>
    </w:p>
    <w:p w14:paraId="37A0F5D5" w14:textId="06B1E98C" w:rsidR="00954BAD" w:rsidRPr="00755161" w:rsidRDefault="00954BAD" w:rsidP="00755F5C">
      <w:pPr>
        <w:spacing w:after="160"/>
        <w:ind w:left="709" w:hanging="720"/>
        <w:jc w:val="both"/>
        <w:rPr>
          <w:sz w:val="22"/>
          <w:szCs w:val="22"/>
          <w:lang w:val="en-GB"/>
        </w:rPr>
      </w:pPr>
      <w:r w:rsidRPr="00755161">
        <w:rPr>
          <w:sz w:val="22"/>
          <w:szCs w:val="22"/>
          <w:lang w:val="en-GB"/>
        </w:rPr>
        <w:t>Mackey, A</w:t>
      </w:r>
      <w:r w:rsidR="0037452A" w:rsidRPr="00755161">
        <w:rPr>
          <w:sz w:val="22"/>
          <w:szCs w:val="22"/>
          <w:lang w:val="en-GB"/>
        </w:rPr>
        <w:t>lison</w:t>
      </w:r>
      <w:r w:rsidRPr="00755161">
        <w:rPr>
          <w:sz w:val="22"/>
          <w:szCs w:val="22"/>
          <w:lang w:val="en-GB"/>
        </w:rPr>
        <w:t xml:space="preserve"> </w:t>
      </w:r>
      <w:r w:rsidR="00C657A2" w:rsidRPr="00755161">
        <w:rPr>
          <w:sz w:val="22"/>
          <w:szCs w:val="22"/>
          <w:lang w:val="en-GB"/>
        </w:rPr>
        <w:t>&amp;</w:t>
      </w:r>
      <w:r w:rsidRPr="00755161">
        <w:rPr>
          <w:sz w:val="22"/>
          <w:szCs w:val="22"/>
          <w:lang w:val="en-GB"/>
        </w:rPr>
        <w:t xml:space="preserve"> Gass</w:t>
      </w:r>
      <w:r w:rsidR="0037452A" w:rsidRPr="00755161">
        <w:rPr>
          <w:sz w:val="22"/>
          <w:szCs w:val="22"/>
          <w:lang w:val="en-GB"/>
        </w:rPr>
        <w:t>,</w:t>
      </w:r>
      <w:r w:rsidR="0037452A" w:rsidRPr="00755161">
        <w:t xml:space="preserve"> </w:t>
      </w:r>
      <w:r w:rsidR="0037452A" w:rsidRPr="00755161">
        <w:rPr>
          <w:sz w:val="22"/>
          <w:szCs w:val="22"/>
          <w:lang w:val="en-GB"/>
        </w:rPr>
        <w:t>Susan M</w:t>
      </w:r>
      <w:r w:rsidRPr="00755161">
        <w:rPr>
          <w:sz w:val="22"/>
          <w:szCs w:val="22"/>
          <w:lang w:val="en-GB"/>
        </w:rPr>
        <w:t xml:space="preserve">. 2016. </w:t>
      </w:r>
      <w:r w:rsidRPr="00755161">
        <w:rPr>
          <w:i/>
          <w:iCs/>
          <w:sz w:val="22"/>
          <w:szCs w:val="22"/>
          <w:lang w:val="en-GB"/>
        </w:rPr>
        <w:t>Second language research: Methodology and design</w:t>
      </w:r>
      <w:r w:rsidRPr="00755161">
        <w:rPr>
          <w:sz w:val="22"/>
          <w:szCs w:val="22"/>
          <w:lang w:val="en-GB"/>
        </w:rPr>
        <w:t xml:space="preserve">. </w:t>
      </w:r>
      <w:r w:rsidR="00D62D8F">
        <w:rPr>
          <w:sz w:val="22"/>
          <w:szCs w:val="22"/>
          <w:lang w:val="en-GB"/>
        </w:rPr>
        <w:t>London</w:t>
      </w:r>
      <w:r w:rsidRPr="00755161">
        <w:rPr>
          <w:sz w:val="22"/>
          <w:szCs w:val="22"/>
          <w:lang w:val="en-GB"/>
        </w:rPr>
        <w:t>: Routledge.</w:t>
      </w:r>
    </w:p>
    <w:p w14:paraId="6C90473F" w14:textId="725966AA" w:rsidR="00954BAD" w:rsidRPr="00755161" w:rsidRDefault="00954BAD" w:rsidP="00755F5C">
      <w:pPr>
        <w:spacing w:after="160"/>
        <w:ind w:left="709" w:hanging="720"/>
        <w:jc w:val="both"/>
        <w:rPr>
          <w:sz w:val="22"/>
          <w:szCs w:val="22"/>
          <w:lang w:val="en-GB"/>
        </w:rPr>
      </w:pPr>
      <w:r w:rsidRPr="00755161">
        <w:rPr>
          <w:sz w:val="22"/>
          <w:szCs w:val="22"/>
          <w:lang w:val="en-GB"/>
        </w:rPr>
        <w:t xml:space="preserve">Mossop, </w:t>
      </w:r>
      <w:r w:rsidR="000F79DD" w:rsidRPr="00755161">
        <w:rPr>
          <w:sz w:val="22"/>
          <w:szCs w:val="22"/>
          <w:lang w:val="en-GB"/>
        </w:rPr>
        <w:t>Brian</w:t>
      </w:r>
      <w:r w:rsidRPr="00755161">
        <w:rPr>
          <w:sz w:val="22"/>
          <w:szCs w:val="22"/>
          <w:lang w:val="en-GB"/>
        </w:rPr>
        <w:t xml:space="preserve">. 1988. Translating institutions: </w:t>
      </w:r>
      <w:r w:rsidR="005E3689">
        <w:rPr>
          <w:sz w:val="22"/>
          <w:szCs w:val="22"/>
          <w:lang w:val="en-GB"/>
        </w:rPr>
        <w:t>A</w:t>
      </w:r>
      <w:r w:rsidRPr="00755161">
        <w:rPr>
          <w:sz w:val="22"/>
          <w:szCs w:val="22"/>
          <w:lang w:val="en-GB"/>
        </w:rPr>
        <w:t xml:space="preserve"> missing factor in translation theory. </w:t>
      </w:r>
      <w:r w:rsidRPr="00755161">
        <w:rPr>
          <w:i/>
          <w:iCs/>
          <w:sz w:val="22"/>
          <w:szCs w:val="22"/>
          <w:lang w:val="en-GB"/>
        </w:rPr>
        <w:t xml:space="preserve">TTR: </w:t>
      </w:r>
      <w:proofErr w:type="spellStart"/>
      <w:r w:rsidRPr="00755161">
        <w:rPr>
          <w:i/>
          <w:iCs/>
          <w:sz w:val="22"/>
          <w:szCs w:val="22"/>
          <w:lang w:val="en-GB"/>
        </w:rPr>
        <w:t>traduction</w:t>
      </w:r>
      <w:proofErr w:type="spellEnd"/>
      <w:r w:rsidRPr="00755161">
        <w:rPr>
          <w:i/>
          <w:iCs/>
          <w:sz w:val="22"/>
          <w:szCs w:val="22"/>
          <w:lang w:val="en-GB"/>
        </w:rPr>
        <w:t xml:space="preserve">, </w:t>
      </w:r>
      <w:proofErr w:type="spellStart"/>
      <w:r w:rsidRPr="00755161">
        <w:rPr>
          <w:i/>
          <w:iCs/>
          <w:sz w:val="22"/>
          <w:szCs w:val="22"/>
          <w:lang w:val="en-GB"/>
        </w:rPr>
        <w:t>terminologie</w:t>
      </w:r>
      <w:proofErr w:type="spellEnd"/>
      <w:r w:rsidRPr="00755161">
        <w:rPr>
          <w:i/>
          <w:iCs/>
          <w:sz w:val="22"/>
          <w:szCs w:val="22"/>
          <w:lang w:val="en-GB"/>
        </w:rPr>
        <w:t xml:space="preserve">, </w:t>
      </w:r>
      <w:proofErr w:type="spellStart"/>
      <w:r w:rsidRPr="00755161">
        <w:rPr>
          <w:i/>
          <w:iCs/>
          <w:sz w:val="22"/>
          <w:szCs w:val="22"/>
          <w:lang w:val="en-GB"/>
        </w:rPr>
        <w:t>rédaction</w:t>
      </w:r>
      <w:proofErr w:type="spellEnd"/>
      <w:r w:rsidRPr="00755161">
        <w:rPr>
          <w:sz w:val="22"/>
          <w:szCs w:val="22"/>
          <w:lang w:val="en-GB"/>
        </w:rPr>
        <w:t xml:space="preserve"> 1(2)</w:t>
      </w:r>
      <w:r w:rsidR="00D62D8F">
        <w:rPr>
          <w:sz w:val="22"/>
          <w:szCs w:val="22"/>
          <w:lang w:val="en-GB"/>
        </w:rPr>
        <w:t>:</w:t>
      </w:r>
      <w:r w:rsidRPr="00755161">
        <w:rPr>
          <w:sz w:val="22"/>
          <w:szCs w:val="22"/>
          <w:lang w:val="en-GB"/>
        </w:rPr>
        <w:t xml:space="preserve"> 65</w:t>
      </w:r>
      <w:r w:rsidR="00123570">
        <w:rPr>
          <w:sz w:val="22"/>
          <w:szCs w:val="22"/>
          <w:lang w:val="en-GB"/>
        </w:rPr>
        <w:t>–</w:t>
      </w:r>
      <w:r w:rsidRPr="00755161">
        <w:rPr>
          <w:sz w:val="22"/>
          <w:szCs w:val="22"/>
          <w:lang w:val="en-GB"/>
        </w:rPr>
        <w:t>71. doi.org/10.7202/037019ar.</w:t>
      </w:r>
    </w:p>
    <w:p w14:paraId="7FD0059F" w14:textId="330B1B60" w:rsidR="00954BAD" w:rsidRPr="00755161" w:rsidRDefault="00954BAD" w:rsidP="00755F5C">
      <w:pPr>
        <w:spacing w:after="160"/>
        <w:ind w:left="709" w:hanging="720"/>
        <w:jc w:val="both"/>
        <w:rPr>
          <w:sz w:val="22"/>
          <w:szCs w:val="22"/>
          <w:lang w:val="en-GB"/>
        </w:rPr>
      </w:pPr>
      <w:r w:rsidRPr="00755161">
        <w:rPr>
          <w:sz w:val="22"/>
          <w:szCs w:val="22"/>
          <w:lang w:val="en-GB"/>
        </w:rPr>
        <w:t>Munday, J</w:t>
      </w:r>
      <w:r w:rsidR="0037452A" w:rsidRPr="00755161">
        <w:rPr>
          <w:sz w:val="22"/>
          <w:szCs w:val="22"/>
          <w:lang w:val="en-GB"/>
        </w:rPr>
        <w:t>eremy</w:t>
      </w:r>
      <w:r w:rsidRPr="00755161">
        <w:rPr>
          <w:sz w:val="22"/>
          <w:szCs w:val="22"/>
          <w:lang w:val="en-GB"/>
        </w:rPr>
        <w:t xml:space="preserve">. 2016. </w:t>
      </w:r>
      <w:r w:rsidRPr="00755161">
        <w:rPr>
          <w:i/>
          <w:iCs/>
          <w:sz w:val="22"/>
          <w:szCs w:val="22"/>
          <w:lang w:val="en-GB"/>
        </w:rPr>
        <w:t xml:space="preserve">Introducing </w:t>
      </w:r>
      <w:r w:rsidR="005376BF">
        <w:rPr>
          <w:i/>
          <w:iCs/>
          <w:sz w:val="22"/>
          <w:szCs w:val="22"/>
          <w:lang w:val="en-GB"/>
        </w:rPr>
        <w:t>t</w:t>
      </w:r>
      <w:r w:rsidRPr="00755161">
        <w:rPr>
          <w:i/>
          <w:iCs/>
          <w:sz w:val="22"/>
          <w:szCs w:val="22"/>
          <w:lang w:val="en-GB"/>
        </w:rPr>
        <w:t xml:space="preserve">ranslation </w:t>
      </w:r>
      <w:r w:rsidR="005376BF">
        <w:rPr>
          <w:i/>
          <w:iCs/>
          <w:sz w:val="22"/>
          <w:szCs w:val="22"/>
          <w:lang w:val="en-GB"/>
        </w:rPr>
        <w:t>s</w:t>
      </w:r>
      <w:r w:rsidRPr="00755161">
        <w:rPr>
          <w:i/>
          <w:iCs/>
          <w:sz w:val="22"/>
          <w:szCs w:val="22"/>
          <w:lang w:val="en-GB"/>
        </w:rPr>
        <w:t xml:space="preserve">tudies: Theories and </w:t>
      </w:r>
      <w:r w:rsidR="005376BF">
        <w:rPr>
          <w:i/>
          <w:iCs/>
          <w:sz w:val="22"/>
          <w:szCs w:val="22"/>
          <w:lang w:val="en-GB"/>
        </w:rPr>
        <w:t>a</w:t>
      </w:r>
      <w:r w:rsidRPr="00755161">
        <w:rPr>
          <w:i/>
          <w:iCs/>
          <w:sz w:val="22"/>
          <w:szCs w:val="22"/>
          <w:lang w:val="en-GB"/>
        </w:rPr>
        <w:t>pplications</w:t>
      </w:r>
      <w:r w:rsidRPr="00755161">
        <w:rPr>
          <w:sz w:val="22"/>
          <w:szCs w:val="22"/>
          <w:lang w:val="en-GB"/>
        </w:rPr>
        <w:t>. London</w:t>
      </w:r>
      <w:r w:rsidR="00D62D8F">
        <w:rPr>
          <w:sz w:val="22"/>
          <w:szCs w:val="22"/>
          <w:lang w:val="en-GB"/>
        </w:rPr>
        <w:t>:</w:t>
      </w:r>
      <w:r w:rsidRPr="00755161">
        <w:rPr>
          <w:sz w:val="22"/>
          <w:szCs w:val="22"/>
          <w:lang w:val="en-GB"/>
        </w:rPr>
        <w:t xml:space="preserve"> Routledge.</w:t>
      </w:r>
    </w:p>
    <w:p w14:paraId="1781EE23" w14:textId="5A04BA87"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Nouraey</w:t>
      </w:r>
      <w:proofErr w:type="spellEnd"/>
      <w:r w:rsidRPr="00755161">
        <w:rPr>
          <w:sz w:val="22"/>
          <w:szCs w:val="22"/>
          <w:lang w:val="en-GB"/>
        </w:rPr>
        <w:t>, P</w:t>
      </w:r>
      <w:r w:rsidR="00D629B0" w:rsidRPr="00755161">
        <w:rPr>
          <w:sz w:val="22"/>
          <w:szCs w:val="22"/>
          <w:lang w:val="en-GB"/>
        </w:rPr>
        <w:t>eyman</w:t>
      </w:r>
      <w:r w:rsidRPr="00755161">
        <w:rPr>
          <w:sz w:val="22"/>
          <w:szCs w:val="22"/>
          <w:lang w:val="en-GB"/>
        </w:rPr>
        <w:t xml:space="preserve"> </w:t>
      </w:r>
      <w:r w:rsidR="00C657A2" w:rsidRPr="00755161">
        <w:rPr>
          <w:sz w:val="22"/>
          <w:szCs w:val="22"/>
          <w:lang w:val="en-GB"/>
        </w:rPr>
        <w:t>&amp;</w:t>
      </w:r>
      <w:r w:rsidRPr="00755161">
        <w:rPr>
          <w:sz w:val="22"/>
          <w:szCs w:val="22"/>
          <w:lang w:val="en-GB"/>
        </w:rPr>
        <w:t xml:space="preserve"> </w:t>
      </w:r>
      <w:proofErr w:type="spellStart"/>
      <w:r w:rsidRPr="00755161">
        <w:rPr>
          <w:sz w:val="22"/>
          <w:szCs w:val="22"/>
          <w:lang w:val="en-GB"/>
        </w:rPr>
        <w:t>Karimnia</w:t>
      </w:r>
      <w:proofErr w:type="spellEnd"/>
      <w:r w:rsidR="00D629B0" w:rsidRPr="00755161">
        <w:rPr>
          <w:sz w:val="22"/>
          <w:szCs w:val="22"/>
          <w:lang w:val="en-GB"/>
        </w:rPr>
        <w:t>, Amin</w:t>
      </w:r>
      <w:r w:rsidRPr="00755161">
        <w:rPr>
          <w:sz w:val="22"/>
          <w:szCs w:val="22"/>
          <w:lang w:val="en-GB"/>
        </w:rPr>
        <w:t xml:space="preserve">. 2012. A </w:t>
      </w:r>
      <w:r w:rsidR="005376BF">
        <w:rPr>
          <w:sz w:val="22"/>
          <w:szCs w:val="22"/>
          <w:lang w:val="en-GB"/>
        </w:rPr>
        <w:t>m</w:t>
      </w:r>
      <w:r w:rsidRPr="00755161">
        <w:rPr>
          <w:sz w:val="22"/>
          <w:szCs w:val="22"/>
          <w:lang w:val="en-GB"/>
        </w:rPr>
        <w:t xml:space="preserve">eta-look at </w:t>
      </w:r>
      <w:r w:rsidR="005376BF">
        <w:rPr>
          <w:sz w:val="22"/>
          <w:szCs w:val="22"/>
          <w:lang w:val="en-GB"/>
        </w:rPr>
        <w:t>c</w:t>
      </w:r>
      <w:r w:rsidRPr="00755161">
        <w:rPr>
          <w:sz w:val="22"/>
          <w:szCs w:val="22"/>
          <w:lang w:val="en-GB"/>
        </w:rPr>
        <w:t xml:space="preserve">urrent </w:t>
      </w:r>
      <w:r w:rsidR="005376BF">
        <w:rPr>
          <w:sz w:val="22"/>
          <w:szCs w:val="22"/>
          <w:lang w:val="en-GB"/>
        </w:rPr>
        <w:t>t</w:t>
      </w:r>
      <w:r w:rsidRPr="00755161">
        <w:rPr>
          <w:sz w:val="22"/>
          <w:szCs w:val="22"/>
          <w:lang w:val="en-GB"/>
        </w:rPr>
        <w:t xml:space="preserve">ranslation </w:t>
      </w:r>
      <w:r w:rsidR="005376BF">
        <w:rPr>
          <w:sz w:val="22"/>
          <w:szCs w:val="22"/>
          <w:lang w:val="en-GB"/>
        </w:rPr>
        <w:t>s</w:t>
      </w:r>
      <w:r w:rsidRPr="00755161">
        <w:rPr>
          <w:sz w:val="22"/>
          <w:szCs w:val="22"/>
          <w:lang w:val="en-GB"/>
        </w:rPr>
        <w:t xml:space="preserve">tudies </w:t>
      </w:r>
      <w:r w:rsidR="005376BF">
        <w:rPr>
          <w:sz w:val="22"/>
          <w:szCs w:val="22"/>
          <w:lang w:val="en-GB"/>
        </w:rPr>
        <w:t>t</w:t>
      </w:r>
      <w:r w:rsidRPr="00755161">
        <w:rPr>
          <w:sz w:val="22"/>
          <w:szCs w:val="22"/>
          <w:lang w:val="en-GB"/>
        </w:rPr>
        <w:t xml:space="preserve">rends in Iran: Insight from </w:t>
      </w:r>
      <w:r w:rsidR="005376BF">
        <w:rPr>
          <w:sz w:val="22"/>
          <w:szCs w:val="22"/>
          <w:lang w:val="en-GB"/>
        </w:rPr>
        <w:t>t</w:t>
      </w:r>
      <w:r w:rsidRPr="00755161">
        <w:rPr>
          <w:sz w:val="22"/>
          <w:szCs w:val="22"/>
          <w:lang w:val="en-GB"/>
        </w:rPr>
        <w:t xml:space="preserve">ranslation </w:t>
      </w:r>
      <w:r w:rsidR="005376BF">
        <w:rPr>
          <w:sz w:val="22"/>
          <w:szCs w:val="22"/>
          <w:lang w:val="en-GB"/>
        </w:rPr>
        <w:t>s</w:t>
      </w:r>
      <w:r w:rsidRPr="00755161">
        <w:rPr>
          <w:sz w:val="22"/>
          <w:szCs w:val="22"/>
          <w:lang w:val="en-GB"/>
        </w:rPr>
        <w:t xml:space="preserve">tudies M.A </w:t>
      </w:r>
      <w:r w:rsidR="005376BF">
        <w:rPr>
          <w:sz w:val="22"/>
          <w:szCs w:val="22"/>
          <w:lang w:val="en-GB"/>
        </w:rPr>
        <w:t>t</w:t>
      </w:r>
      <w:r w:rsidRPr="00755161">
        <w:rPr>
          <w:sz w:val="22"/>
          <w:szCs w:val="22"/>
          <w:lang w:val="en-GB"/>
        </w:rPr>
        <w:t xml:space="preserve">heses. </w:t>
      </w:r>
      <w:r w:rsidRPr="00755161">
        <w:rPr>
          <w:i/>
          <w:iCs/>
          <w:sz w:val="22"/>
          <w:szCs w:val="22"/>
          <w:lang w:val="en-GB"/>
        </w:rPr>
        <w:t>British Journal of Social Sciences</w:t>
      </w:r>
      <w:r w:rsidRPr="00755161">
        <w:rPr>
          <w:sz w:val="22"/>
          <w:szCs w:val="22"/>
          <w:lang w:val="en-GB"/>
        </w:rPr>
        <w:t xml:space="preserve"> 1(1)</w:t>
      </w:r>
      <w:r w:rsidR="00D62D8F">
        <w:rPr>
          <w:sz w:val="22"/>
          <w:szCs w:val="22"/>
          <w:lang w:val="en-GB"/>
        </w:rPr>
        <w:t>:</w:t>
      </w:r>
      <w:r w:rsidRPr="00755161">
        <w:rPr>
          <w:sz w:val="22"/>
          <w:szCs w:val="22"/>
          <w:lang w:val="en-GB"/>
        </w:rPr>
        <w:t xml:space="preserve"> 94</w:t>
      </w:r>
      <w:r w:rsidR="00123570">
        <w:rPr>
          <w:sz w:val="22"/>
          <w:szCs w:val="22"/>
          <w:lang w:val="en-GB"/>
        </w:rPr>
        <w:t>–</w:t>
      </w:r>
      <w:r w:rsidRPr="00755161">
        <w:rPr>
          <w:sz w:val="22"/>
          <w:szCs w:val="22"/>
          <w:lang w:val="en-GB"/>
        </w:rPr>
        <w:t>116.</w:t>
      </w:r>
    </w:p>
    <w:p w14:paraId="42EFBD61" w14:textId="5225D3EB" w:rsidR="00B2700E" w:rsidRDefault="00954BAD" w:rsidP="00755F5C">
      <w:pPr>
        <w:spacing w:after="160"/>
        <w:ind w:left="709" w:hanging="720"/>
        <w:jc w:val="both"/>
        <w:rPr>
          <w:sz w:val="22"/>
          <w:szCs w:val="22"/>
          <w:lang w:val="en-GB"/>
        </w:rPr>
      </w:pPr>
      <w:proofErr w:type="spellStart"/>
      <w:r w:rsidRPr="00755161">
        <w:rPr>
          <w:sz w:val="22"/>
          <w:szCs w:val="22"/>
          <w:lang w:val="en-GB"/>
        </w:rPr>
        <w:t>Nouraey</w:t>
      </w:r>
      <w:proofErr w:type="spellEnd"/>
      <w:r w:rsidRPr="00755161">
        <w:rPr>
          <w:sz w:val="22"/>
          <w:szCs w:val="22"/>
          <w:lang w:val="en-GB"/>
        </w:rPr>
        <w:t>, P</w:t>
      </w:r>
      <w:r w:rsidR="00D629B0" w:rsidRPr="00755161">
        <w:rPr>
          <w:sz w:val="22"/>
          <w:szCs w:val="22"/>
          <w:lang w:val="en-GB"/>
        </w:rPr>
        <w:t>eyman</w:t>
      </w:r>
      <w:r w:rsidRPr="00755161">
        <w:rPr>
          <w:sz w:val="22"/>
          <w:szCs w:val="22"/>
          <w:lang w:val="en-GB"/>
        </w:rPr>
        <w:t xml:space="preserve"> </w:t>
      </w:r>
      <w:r w:rsidR="00C657A2" w:rsidRPr="00755161">
        <w:rPr>
          <w:sz w:val="22"/>
          <w:szCs w:val="22"/>
          <w:lang w:val="en-GB"/>
        </w:rPr>
        <w:t>&amp;</w:t>
      </w:r>
      <w:r w:rsidRPr="00755161">
        <w:rPr>
          <w:sz w:val="22"/>
          <w:szCs w:val="22"/>
          <w:lang w:val="en-GB"/>
        </w:rPr>
        <w:t xml:space="preserve"> </w:t>
      </w:r>
      <w:proofErr w:type="spellStart"/>
      <w:r w:rsidRPr="00755161">
        <w:rPr>
          <w:sz w:val="22"/>
          <w:szCs w:val="22"/>
          <w:lang w:val="en-GB"/>
        </w:rPr>
        <w:t>Karimnia</w:t>
      </w:r>
      <w:proofErr w:type="spellEnd"/>
      <w:r w:rsidR="00D629B0" w:rsidRPr="00755161">
        <w:rPr>
          <w:sz w:val="22"/>
          <w:szCs w:val="22"/>
          <w:lang w:val="en-GB"/>
        </w:rPr>
        <w:t>, Amin</w:t>
      </w:r>
      <w:r w:rsidRPr="00755161">
        <w:rPr>
          <w:sz w:val="22"/>
          <w:szCs w:val="22"/>
          <w:lang w:val="en-GB"/>
        </w:rPr>
        <w:t xml:space="preserve">. 2015. The map of translation studies in modern Iran: </w:t>
      </w:r>
      <w:r w:rsidR="005376BF">
        <w:rPr>
          <w:sz w:val="22"/>
          <w:szCs w:val="22"/>
          <w:lang w:val="en-GB"/>
        </w:rPr>
        <w:t>A</w:t>
      </w:r>
      <w:r w:rsidRPr="00755161">
        <w:rPr>
          <w:sz w:val="22"/>
          <w:szCs w:val="22"/>
          <w:lang w:val="en-GB"/>
        </w:rPr>
        <w:t xml:space="preserve">n empirical investigation. </w:t>
      </w:r>
      <w:r w:rsidRPr="00755161">
        <w:rPr>
          <w:i/>
          <w:iCs/>
          <w:sz w:val="22"/>
          <w:szCs w:val="22"/>
          <w:lang w:val="en-GB"/>
        </w:rPr>
        <w:t>Asia Pacific Translation and Intercultural Studies</w:t>
      </w:r>
      <w:r w:rsidRPr="00755161">
        <w:rPr>
          <w:sz w:val="22"/>
          <w:szCs w:val="22"/>
          <w:lang w:val="en-GB"/>
        </w:rPr>
        <w:t xml:space="preserve"> 2(2)</w:t>
      </w:r>
      <w:r w:rsidR="00D62D8F">
        <w:rPr>
          <w:sz w:val="22"/>
          <w:szCs w:val="22"/>
          <w:lang w:val="en-GB"/>
        </w:rPr>
        <w:t>:</w:t>
      </w:r>
      <w:r w:rsidRPr="00755161">
        <w:rPr>
          <w:sz w:val="22"/>
          <w:szCs w:val="22"/>
          <w:lang w:val="en-GB"/>
        </w:rPr>
        <w:t xml:space="preserve"> 123</w:t>
      </w:r>
      <w:r w:rsidR="00123570">
        <w:rPr>
          <w:sz w:val="22"/>
          <w:szCs w:val="22"/>
          <w:lang w:val="en-GB"/>
        </w:rPr>
        <w:t>–</w:t>
      </w:r>
      <w:r w:rsidRPr="00755161">
        <w:rPr>
          <w:sz w:val="22"/>
          <w:szCs w:val="22"/>
          <w:lang w:val="en-GB"/>
        </w:rPr>
        <w:t>138. doi.org/10.1080/23306343.</w:t>
      </w:r>
      <w:r w:rsidR="00551F5E">
        <w:rPr>
          <w:sz w:val="22"/>
          <w:szCs w:val="22"/>
          <w:lang w:val="en-GB"/>
        </w:rPr>
        <w:t>2015.1059009</w:t>
      </w:r>
      <w:r w:rsidR="00A50A04">
        <w:rPr>
          <w:sz w:val="22"/>
          <w:szCs w:val="22"/>
          <w:lang w:val="en-GB"/>
        </w:rPr>
        <w:t>.</w:t>
      </w:r>
    </w:p>
    <w:p w14:paraId="43A26048" w14:textId="641CC7E9" w:rsidR="00954BAD" w:rsidRPr="00755161" w:rsidRDefault="00954BAD" w:rsidP="00755F5C">
      <w:pPr>
        <w:spacing w:after="160"/>
        <w:ind w:left="709" w:hanging="720"/>
        <w:jc w:val="both"/>
        <w:rPr>
          <w:sz w:val="22"/>
          <w:szCs w:val="22"/>
          <w:lang w:val="en-GB"/>
        </w:rPr>
      </w:pPr>
      <w:r w:rsidRPr="00755161">
        <w:rPr>
          <w:sz w:val="22"/>
          <w:szCs w:val="22"/>
          <w:lang w:val="en-GB"/>
        </w:rPr>
        <w:lastRenderedPageBreak/>
        <w:t>Pym, A</w:t>
      </w:r>
      <w:r w:rsidR="00AD4CF3" w:rsidRPr="00755161">
        <w:rPr>
          <w:sz w:val="22"/>
          <w:szCs w:val="22"/>
          <w:lang w:val="en-GB"/>
        </w:rPr>
        <w:t>nthony</w:t>
      </w:r>
      <w:r w:rsidRPr="00755161">
        <w:rPr>
          <w:sz w:val="22"/>
          <w:szCs w:val="22"/>
          <w:lang w:val="en-GB"/>
        </w:rPr>
        <w:t xml:space="preserve">. 2006. On the social and the cultural in </w:t>
      </w:r>
      <w:r w:rsidR="00BA54E1">
        <w:rPr>
          <w:sz w:val="22"/>
          <w:szCs w:val="22"/>
          <w:lang w:val="en-GB"/>
        </w:rPr>
        <w:t>t</w:t>
      </w:r>
      <w:r w:rsidRPr="00755161">
        <w:rPr>
          <w:sz w:val="22"/>
          <w:szCs w:val="22"/>
          <w:lang w:val="en-GB"/>
        </w:rPr>
        <w:t xml:space="preserve">ranslation </w:t>
      </w:r>
      <w:r w:rsidR="00BA54E1">
        <w:rPr>
          <w:sz w:val="22"/>
          <w:szCs w:val="22"/>
          <w:lang w:val="en-GB"/>
        </w:rPr>
        <w:t>s</w:t>
      </w:r>
      <w:r w:rsidRPr="00755161">
        <w:rPr>
          <w:sz w:val="22"/>
          <w:szCs w:val="22"/>
          <w:lang w:val="en-GB"/>
        </w:rPr>
        <w:t xml:space="preserve">tudies. In </w:t>
      </w:r>
      <w:r w:rsidR="00287546" w:rsidRPr="00755161">
        <w:rPr>
          <w:sz w:val="22"/>
          <w:szCs w:val="22"/>
          <w:lang w:val="en-GB"/>
        </w:rPr>
        <w:t>Pym, A</w:t>
      </w:r>
      <w:r w:rsidR="006324DD">
        <w:rPr>
          <w:sz w:val="22"/>
          <w:szCs w:val="22"/>
          <w:lang w:val="en-GB"/>
        </w:rPr>
        <w:t>nthony</w:t>
      </w:r>
      <w:r w:rsidR="00287546" w:rsidRPr="00755161">
        <w:rPr>
          <w:sz w:val="22"/>
          <w:szCs w:val="22"/>
          <w:lang w:val="en-GB"/>
        </w:rPr>
        <w:t xml:space="preserve"> &amp; Shlesinger, M</w:t>
      </w:r>
      <w:r w:rsidR="006324DD">
        <w:rPr>
          <w:sz w:val="22"/>
          <w:szCs w:val="22"/>
          <w:lang w:val="en-GB"/>
        </w:rPr>
        <w:t>iriam</w:t>
      </w:r>
      <w:r w:rsidR="00287546" w:rsidRPr="00755161">
        <w:rPr>
          <w:sz w:val="22"/>
          <w:szCs w:val="22"/>
          <w:lang w:val="en-GB"/>
        </w:rPr>
        <w:t xml:space="preserve"> &amp; </w:t>
      </w:r>
      <w:proofErr w:type="spellStart"/>
      <w:r w:rsidR="00287546" w:rsidRPr="00755161">
        <w:rPr>
          <w:sz w:val="22"/>
          <w:szCs w:val="22"/>
          <w:lang w:val="en-GB"/>
        </w:rPr>
        <w:t>Jettmarová</w:t>
      </w:r>
      <w:proofErr w:type="spellEnd"/>
      <w:r w:rsidR="00287546" w:rsidRPr="00755161">
        <w:rPr>
          <w:sz w:val="22"/>
          <w:szCs w:val="22"/>
          <w:lang w:val="en-GB"/>
        </w:rPr>
        <w:t>, Z</w:t>
      </w:r>
      <w:r w:rsidR="006324DD">
        <w:rPr>
          <w:sz w:val="22"/>
          <w:szCs w:val="22"/>
          <w:lang w:val="en-GB"/>
        </w:rPr>
        <w:t>uzana</w:t>
      </w:r>
      <w:r w:rsidR="00287546" w:rsidRPr="00755161">
        <w:rPr>
          <w:sz w:val="22"/>
          <w:szCs w:val="22"/>
          <w:lang w:val="en-GB"/>
        </w:rPr>
        <w:t xml:space="preserve"> (eds.), </w:t>
      </w:r>
      <w:r w:rsidRPr="00755161">
        <w:rPr>
          <w:i/>
          <w:iCs/>
          <w:sz w:val="22"/>
          <w:szCs w:val="22"/>
          <w:lang w:val="en-GB"/>
        </w:rPr>
        <w:t xml:space="preserve">Sociocultural </w:t>
      </w:r>
      <w:r w:rsidR="005E3689">
        <w:rPr>
          <w:i/>
          <w:iCs/>
          <w:sz w:val="22"/>
          <w:szCs w:val="22"/>
          <w:lang w:val="en-GB"/>
        </w:rPr>
        <w:t>a</w:t>
      </w:r>
      <w:r w:rsidRPr="00755161">
        <w:rPr>
          <w:i/>
          <w:iCs/>
          <w:sz w:val="22"/>
          <w:szCs w:val="22"/>
          <w:lang w:val="en-GB"/>
        </w:rPr>
        <w:t xml:space="preserve">spects of </w:t>
      </w:r>
      <w:r w:rsidR="005E3689">
        <w:rPr>
          <w:i/>
          <w:iCs/>
          <w:sz w:val="22"/>
          <w:szCs w:val="22"/>
          <w:lang w:val="en-GB"/>
        </w:rPr>
        <w:t>t</w:t>
      </w:r>
      <w:r w:rsidRPr="00755161">
        <w:rPr>
          <w:i/>
          <w:iCs/>
          <w:sz w:val="22"/>
          <w:szCs w:val="22"/>
          <w:lang w:val="en-GB"/>
        </w:rPr>
        <w:t xml:space="preserve">ranslating and </w:t>
      </w:r>
      <w:r w:rsidR="005E3689">
        <w:rPr>
          <w:i/>
          <w:iCs/>
          <w:sz w:val="22"/>
          <w:szCs w:val="22"/>
          <w:lang w:val="en-GB"/>
        </w:rPr>
        <w:t>i</w:t>
      </w:r>
      <w:r w:rsidRPr="00755161">
        <w:rPr>
          <w:i/>
          <w:iCs/>
          <w:sz w:val="22"/>
          <w:szCs w:val="22"/>
          <w:lang w:val="en-GB"/>
        </w:rPr>
        <w:t>nterpreting</w:t>
      </w:r>
      <w:r w:rsidR="00D62D8F">
        <w:rPr>
          <w:sz w:val="22"/>
          <w:szCs w:val="22"/>
          <w:lang w:val="en-GB"/>
        </w:rPr>
        <w:t xml:space="preserve">. </w:t>
      </w:r>
      <w:r w:rsidRPr="00755161">
        <w:rPr>
          <w:sz w:val="22"/>
          <w:szCs w:val="22"/>
          <w:lang w:val="en-GB"/>
        </w:rPr>
        <w:t>Amsterdam</w:t>
      </w:r>
      <w:r w:rsidR="00D62D8F">
        <w:rPr>
          <w:sz w:val="22"/>
          <w:szCs w:val="22"/>
          <w:lang w:val="en-GB"/>
        </w:rPr>
        <w:t>:</w:t>
      </w:r>
      <w:r w:rsidRPr="00755161">
        <w:rPr>
          <w:sz w:val="22"/>
          <w:szCs w:val="22"/>
          <w:lang w:val="en-GB"/>
        </w:rPr>
        <w:t xml:space="preserve"> John Benjamins. </w:t>
      </w:r>
      <w:r w:rsidR="00D62D8F" w:rsidRPr="00755161">
        <w:rPr>
          <w:sz w:val="22"/>
          <w:szCs w:val="22"/>
          <w:lang w:val="en-GB"/>
        </w:rPr>
        <w:t>1</w:t>
      </w:r>
      <w:r w:rsidR="00123570">
        <w:rPr>
          <w:sz w:val="22"/>
          <w:szCs w:val="22"/>
          <w:lang w:val="en-GB"/>
        </w:rPr>
        <w:t>–</w:t>
      </w:r>
      <w:r w:rsidR="00D62D8F" w:rsidRPr="00755161">
        <w:rPr>
          <w:sz w:val="22"/>
          <w:szCs w:val="22"/>
          <w:lang w:val="en-GB"/>
        </w:rPr>
        <w:t>25.</w:t>
      </w:r>
    </w:p>
    <w:p w14:paraId="0F16ADCC" w14:textId="0D354D1A" w:rsidR="00954BAD" w:rsidRPr="00755161" w:rsidRDefault="00954BAD" w:rsidP="00755F5C">
      <w:pPr>
        <w:spacing w:after="160"/>
        <w:ind w:left="709" w:hanging="720"/>
        <w:jc w:val="both"/>
        <w:rPr>
          <w:sz w:val="22"/>
          <w:szCs w:val="22"/>
          <w:lang w:val="en-GB"/>
        </w:rPr>
      </w:pPr>
      <w:r w:rsidRPr="00755161">
        <w:rPr>
          <w:sz w:val="22"/>
          <w:szCs w:val="22"/>
          <w:lang w:val="en-GB"/>
        </w:rPr>
        <w:t>Saldanha, G</w:t>
      </w:r>
      <w:r w:rsidR="00307C5F" w:rsidRPr="00755161">
        <w:rPr>
          <w:sz w:val="22"/>
          <w:szCs w:val="22"/>
          <w:lang w:val="en-GB"/>
        </w:rPr>
        <w:t>abriela</w:t>
      </w:r>
      <w:r w:rsidRPr="00755161">
        <w:rPr>
          <w:sz w:val="22"/>
          <w:szCs w:val="22"/>
          <w:lang w:val="en-GB"/>
        </w:rPr>
        <w:t xml:space="preserve"> </w:t>
      </w:r>
      <w:r w:rsidR="00C657A2" w:rsidRPr="00755161">
        <w:rPr>
          <w:sz w:val="22"/>
          <w:szCs w:val="22"/>
          <w:lang w:val="en-GB"/>
        </w:rPr>
        <w:t>&amp;</w:t>
      </w:r>
      <w:r w:rsidRPr="00755161">
        <w:rPr>
          <w:sz w:val="22"/>
          <w:szCs w:val="22"/>
          <w:lang w:val="en-GB"/>
        </w:rPr>
        <w:t xml:space="preserve"> O’Brien</w:t>
      </w:r>
      <w:r w:rsidR="00307C5F" w:rsidRPr="00755161">
        <w:rPr>
          <w:sz w:val="22"/>
          <w:szCs w:val="22"/>
          <w:lang w:val="en-GB"/>
        </w:rPr>
        <w:t>, Sharon</w:t>
      </w:r>
      <w:r w:rsidRPr="00755161">
        <w:rPr>
          <w:sz w:val="22"/>
          <w:szCs w:val="22"/>
          <w:lang w:val="en-GB"/>
        </w:rPr>
        <w:t xml:space="preserve">. 2014. </w:t>
      </w:r>
      <w:r w:rsidRPr="00755161">
        <w:rPr>
          <w:i/>
          <w:iCs/>
          <w:sz w:val="22"/>
          <w:szCs w:val="22"/>
          <w:lang w:val="en-GB"/>
        </w:rPr>
        <w:t xml:space="preserve">Research </w:t>
      </w:r>
      <w:r w:rsidR="00BA54E1">
        <w:rPr>
          <w:i/>
          <w:iCs/>
          <w:sz w:val="22"/>
          <w:szCs w:val="22"/>
          <w:lang w:val="en-GB"/>
        </w:rPr>
        <w:t>m</w:t>
      </w:r>
      <w:r w:rsidRPr="00755161">
        <w:rPr>
          <w:i/>
          <w:iCs/>
          <w:sz w:val="22"/>
          <w:szCs w:val="22"/>
          <w:lang w:val="en-GB"/>
        </w:rPr>
        <w:t xml:space="preserve">ethodologies in </w:t>
      </w:r>
      <w:r w:rsidR="00BA54E1">
        <w:rPr>
          <w:i/>
          <w:iCs/>
          <w:sz w:val="22"/>
          <w:szCs w:val="22"/>
          <w:lang w:val="en-GB"/>
        </w:rPr>
        <w:t>t</w:t>
      </w:r>
      <w:r w:rsidRPr="00755161">
        <w:rPr>
          <w:i/>
          <w:iCs/>
          <w:sz w:val="22"/>
          <w:szCs w:val="22"/>
          <w:lang w:val="en-GB"/>
        </w:rPr>
        <w:t xml:space="preserve">ranslation </w:t>
      </w:r>
      <w:r w:rsidR="00BA54E1">
        <w:rPr>
          <w:i/>
          <w:iCs/>
          <w:sz w:val="22"/>
          <w:szCs w:val="22"/>
          <w:lang w:val="en-GB"/>
        </w:rPr>
        <w:t>s</w:t>
      </w:r>
      <w:r w:rsidRPr="00755161">
        <w:rPr>
          <w:i/>
          <w:iCs/>
          <w:sz w:val="22"/>
          <w:szCs w:val="22"/>
          <w:lang w:val="en-GB"/>
        </w:rPr>
        <w:t>tudies</w:t>
      </w:r>
      <w:r w:rsidRPr="00755161">
        <w:rPr>
          <w:sz w:val="22"/>
          <w:szCs w:val="22"/>
          <w:lang w:val="en-GB"/>
        </w:rPr>
        <w:t>. Abingdon: Routledge.</w:t>
      </w:r>
    </w:p>
    <w:p w14:paraId="0FBCF0E0" w14:textId="67F7987B"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Sanatifar</w:t>
      </w:r>
      <w:proofErr w:type="spellEnd"/>
      <w:r w:rsidRPr="00755161">
        <w:rPr>
          <w:sz w:val="22"/>
          <w:szCs w:val="22"/>
          <w:lang w:val="en-GB"/>
        </w:rPr>
        <w:t>, M</w:t>
      </w:r>
      <w:r w:rsidR="00873310" w:rsidRPr="00755161">
        <w:rPr>
          <w:sz w:val="22"/>
          <w:szCs w:val="22"/>
          <w:lang w:val="en-GB"/>
        </w:rPr>
        <w:t>ohammad</w:t>
      </w:r>
      <w:r w:rsidRPr="00755161">
        <w:rPr>
          <w:sz w:val="22"/>
          <w:szCs w:val="22"/>
          <w:lang w:val="en-GB"/>
        </w:rPr>
        <w:t xml:space="preserve"> S. 2019. Translator </w:t>
      </w:r>
      <w:r w:rsidR="00BA54E1">
        <w:rPr>
          <w:sz w:val="22"/>
          <w:szCs w:val="22"/>
          <w:lang w:val="en-GB"/>
        </w:rPr>
        <w:t>s</w:t>
      </w:r>
      <w:r w:rsidRPr="00755161">
        <w:rPr>
          <w:sz w:val="22"/>
          <w:szCs w:val="22"/>
          <w:lang w:val="en-GB"/>
        </w:rPr>
        <w:t xml:space="preserve">tudies in Iran: Sociological, </w:t>
      </w:r>
      <w:r w:rsidR="00BA54E1">
        <w:rPr>
          <w:sz w:val="22"/>
          <w:szCs w:val="22"/>
          <w:lang w:val="en-GB"/>
        </w:rPr>
        <w:t>c</w:t>
      </w:r>
      <w:r w:rsidRPr="00755161">
        <w:rPr>
          <w:sz w:val="22"/>
          <w:szCs w:val="22"/>
          <w:lang w:val="en-GB"/>
        </w:rPr>
        <w:t xml:space="preserve">ultural, and </w:t>
      </w:r>
      <w:r w:rsidR="00BA54E1">
        <w:rPr>
          <w:sz w:val="22"/>
          <w:szCs w:val="22"/>
          <w:lang w:val="en-GB"/>
        </w:rPr>
        <w:t>c</w:t>
      </w:r>
      <w:r w:rsidRPr="00755161">
        <w:rPr>
          <w:sz w:val="22"/>
          <w:szCs w:val="22"/>
          <w:lang w:val="en-GB"/>
        </w:rPr>
        <w:t xml:space="preserve">ognitive </w:t>
      </w:r>
      <w:r w:rsidR="00BA54E1">
        <w:rPr>
          <w:sz w:val="22"/>
          <w:szCs w:val="22"/>
          <w:lang w:val="en-GB"/>
        </w:rPr>
        <w:t>g</w:t>
      </w:r>
      <w:r w:rsidRPr="00755161">
        <w:rPr>
          <w:sz w:val="22"/>
          <w:szCs w:val="22"/>
          <w:lang w:val="en-GB"/>
        </w:rPr>
        <w:t xml:space="preserve">aps in the </w:t>
      </w:r>
      <w:r w:rsidR="00BA54E1">
        <w:rPr>
          <w:sz w:val="22"/>
          <w:szCs w:val="22"/>
          <w:lang w:val="en-GB"/>
        </w:rPr>
        <w:t>t</w:t>
      </w:r>
      <w:r w:rsidRPr="00755161">
        <w:rPr>
          <w:sz w:val="22"/>
          <w:szCs w:val="22"/>
          <w:lang w:val="en-GB"/>
        </w:rPr>
        <w:t xml:space="preserve">ranslation </w:t>
      </w:r>
      <w:r w:rsidR="00BA54E1">
        <w:rPr>
          <w:sz w:val="22"/>
          <w:szCs w:val="22"/>
          <w:lang w:val="en-GB"/>
        </w:rPr>
        <w:t>s</w:t>
      </w:r>
      <w:r w:rsidRPr="00755161">
        <w:rPr>
          <w:sz w:val="22"/>
          <w:szCs w:val="22"/>
          <w:lang w:val="en-GB"/>
        </w:rPr>
        <w:t xml:space="preserve">tudies </w:t>
      </w:r>
      <w:r w:rsidR="00BA54E1">
        <w:rPr>
          <w:sz w:val="22"/>
          <w:szCs w:val="22"/>
          <w:lang w:val="en-GB"/>
        </w:rPr>
        <w:t>m</w:t>
      </w:r>
      <w:r w:rsidRPr="00755161">
        <w:rPr>
          <w:sz w:val="22"/>
          <w:szCs w:val="22"/>
          <w:lang w:val="en-GB"/>
        </w:rPr>
        <w:t xml:space="preserve">ap. In </w:t>
      </w:r>
      <w:r w:rsidR="00873310" w:rsidRPr="00755161">
        <w:rPr>
          <w:sz w:val="22"/>
          <w:szCs w:val="22"/>
          <w:lang w:val="en-GB"/>
        </w:rPr>
        <w:t>Ojeda, B</w:t>
      </w:r>
      <w:r w:rsidR="006324DD">
        <w:rPr>
          <w:sz w:val="22"/>
          <w:szCs w:val="22"/>
          <w:lang w:val="en-GB"/>
        </w:rPr>
        <w:t>eatriz</w:t>
      </w:r>
      <w:r w:rsidR="00873310" w:rsidRPr="00755161">
        <w:rPr>
          <w:sz w:val="22"/>
          <w:szCs w:val="22"/>
          <w:lang w:val="en-GB"/>
        </w:rPr>
        <w:t xml:space="preserve"> M. &amp; Muñoz, M</w:t>
      </w:r>
      <w:r w:rsidR="006324DD">
        <w:rPr>
          <w:sz w:val="22"/>
          <w:szCs w:val="22"/>
          <w:lang w:val="en-GB"/>
        </w:rPr>
        <w:t>aría</w:t>
      </w:r>
      <w:r w:rsidR="00873310" w:rsidRPr="00755161">
        <w:rPr>
          <w:sz w:val="22"/>
          <w:szCs w:val="22"/>
          <w:lang w:val="en-GB"/>
        </w:rPr>
        <w:t xml:space="preserve"> L. R. (eds.), </w:t>
      </w:r>
      <w:r w:rsidRPr="00755161">
        <w:rPr>
          <w:i/>
          <w:iCs/>
          <w:sz w:val="22"/>
          <w:szCs w:val="22"/>
          <w:lang w:val="en-GB"/>
        </w:rPr>
        <w:t xml:space="preserve">Translation in and for </w:t>
      </w:r>
      <w:r w:rsidR="005E3689">
        <w:rPr>
          <w:i/>
          <w:iCs/>
          <w:sz w:val="22"/>
          <w:szCs w:val="22"/>
          <w:lang w:val="en-GB"/>
        </w:rPr>
        <w:t>s</w:t>
      </w:r>
      <w:r w:rsidRPr="00755161">
        <w:rPr>
          <w:i/>
          <w:iCs/>
          <w:sz w:val="22"/>
          <w:szCs w:val="22"/>
          <w:lang w:val="en-GB"/>
        </w:rPr>
        <w:t xml:space="preserve">ociety: Sociological and </w:t>
      </w:r>
      <w:r w:rsidR="00BA54E1">
        <w:rPr>
          <w:i/>
          <w:iCs/>
          <w:sz w:val="22"/>
          <w:szCs w:val="22"/>
          <w:lang w:val="en-GB"/>
        </w:rPr>
        <w:t>c</w:t>
      </w:r>
      <w:r w:rsidRPr="00755161">
        <w:rPr>
          <w:i/>
          <w:iCs/>
          <w:sz w:val="22"/>
          <w:szCs w:val="22"/>
          <w:lang w:val="en-GB"/>
        </w:rPr>
        <w:t xml:space="preserve">ultural </w:t>
      </w:r>
      <w:r w:rsidR="00BA54E1">
        <w:rPr>
          <w:i/>
          <w:iCs/>
          <w:sz w:val="22"/>
          <w:szCs w:val="22"/>
          <w:lang w:val="en-GB"/>
        </w:rPr>
        <w:t>a</w:t>
      </w:r>
      <w:r w:rsidRPr="00755161">
        <w:rPr>
          <w:i/>
          <w:iCs/>
          <w:sz w:val="22"/>
          <w:szCs w:val="22"/>
          <w:lang w:val="en-GB"/>
        </w:rPr>
        <w:t xml:space="preserve">pproaches in </w:t>
      </w:r>
      <w:r w:rsidR="00BA54E1">
        <w:rPr>
          <w:i/>
          <w:iCs/>
          <w:sz w:val="22"/>
          <w:szCs w:val="22"/>
          <w:lang w:val="en-GB"/>
        </w:rPr>
        <w:t>t</w:t>
      </w:r>
      <w:r w:rsidRPr="00755161">
        <w:rPr>
          <w:i/>
          <w:iCs/>
          <w:sz w:val="22"/>
          <w:szCs w:val="22"/>
          <w:lang w:val="en-GB"/>
        </w:rPr>
        <w:t>ranslation</w:t>
      </w:r>
      <w:r w:rsidRPr="00755161">
        <w:rPr>
          <w:sz w:val="22"/>
          <w:szCs w:val="22"/>
          <w:lang w:val="en-GB"/>
        </w:rPr>
        <w:t xml:space="preserve">. Córdoba: UCO Press. </w:t>
      </w:r>
      <w:r w:rsidR="00C53027" w:rsidRPr="00755161">
        <w:rPr>
          <w:sz w:val="22"/>
          <w:szCs w:val="22"/>
          <w:lang w:val="en-GB"/>
        </w:rPr>
        <w:t>117</w:t>
      </w:r>
      <w:r w:rsidR="00D87B28">
        <w:rPr>
          <w:sz w:val="22"/>
          <w:szCs w:val="22"/>
          <w:lang w:val="en-GB"/>
        </w:rPr>
        <w:t>–</w:t>
      </w:r>
      <w:r w:rsidR="00C53027" w:rsidRPr="00755161">
        <w:rPr>
          <w:sz w:val="22"/>
          <w:szCs w:val="22"/>
          <w:lang w:val="en-GB"/>
        </w:rPr>
        <w:t>148</w:t>
      </w:r>
      <w:r w:rsidR="00C53027">
        <w:rPr>
          <w:sz w:val="22"/>
          <w:szCs w:val="22"/>
          <w:lang w:val="en-GB"/>
        </w:rPr>
        <w:t>.</w:t>
      </w:r>
    </w:p>
    <w:p w14:paraId="411E268F" w14:textId="4F407BB1" w:rsidR="00954BAD" w:rsidRPr="00755161" w:rsidRDefault="00954BAD" w:rsidP="00755F5C">
      <w:pPr>
        <w:spacing w:after="160"/>
        <w:ind w:left="709" w:hanging="720"/>
        <w:jc w:val="both"/>
        <w:rPr>
          <w:sz w:val="22"/>
          <w:szCs w:val="22"/>
          <w:lang w:val="en-GB"/>
        </w:rPr>
      </w:pPr>
      <w:r w:rsidRPr="00755161">
        <w:rPr>
          <w:sz w:val="22"/>
          <w:szCs w:val="22"/>
          <w:lang w:val="en-GB"/>
        </w:rPr>
        <w:t xml:space="preserve">Sapiro, </w:t>
      </w:r>
      <w:r w:rsidR="00F81914" w:rsidRPr="00755161">
        <w:rPr>
          <w:sz w:val="22"/>
          <w:szCs w:val="22"/>
          <w:lang w:val="en-GB"/>
        </w:rPr>
        <w:t>Gisèle</w:t>
      </w:r>
      <w:r w:rsidRPr="00755161">
        <w:rPr>
          <w:sz w:val="22"/>
          <w:szCs w:val="22"/>
          <w:lang w:val="en-GB"/>
        </w:rPr>
        <w:t xml:space="preserve">. 2014. The </w:t>
      </w:r>
      <w:r w:rsidR="005E3689">
        <w:rPr>
          <w:sz w:val="22"/>
          <w:szCs w:val="22"/>
          <w:lang w:val="en-GB"/>
        </w:rPr>
        <w:t>s</w:t>
      </w:r>
      <w:r w:rsidRPr="00755161">
        <w:rPr>
          <w:sz w:val="22"/>
          <w:szCs w:val="22"/>
          <w:lang w:val="en-GB"/>
        </w:rPr>
        <w:t xml:space="preserve">ociology of </w:t>
      </w:r>
      <w:r w:rsidR="005E3689">
        <w:rPr>
          <w:sz w:val="22"/>
          <w:szCs w:val="22"/>
          <w:lang w:val="en-GB"/>
        </w:rPr>
        <w:t>t</w:t>
      </w:r>
      <w:r w:rsidRPr="00755161">
        <w:rPr>
          <w:sz w:val="22"/>
          <w:szCs w:val="22"/>
          <w:lang w:val="en-GB"/>
        </w:rPr>
        <w:t xml:space="preserve">ranslation: A </w:t>
      </w:r>
      <w:r w:rsidR="005E3689">
        <w:rPr>
          <w:sz w:val="22"/>
          <w:szCs w:val="22"/>
          <w:lang w:val="en-GB"/>
        </w:rPr>
        <w:t>n</w:t>
      </w:r>
      <w:r w:rsidRPr="00755161">
        <w:rPr>
          <w:sz w:val="22"/>
          <w:szCs w:val="22"/>
          <w:lang w:val="en-GB"/>
        </w:rPr>
        <w:t xml:space="preserve">ew </w:t>
      </w:r>
      <w:r w:rsidR="005E3689">
        <w:rPr>
          <w:sz w:val="22"/>
          <w:szCs w:val="22"/>
          <w:lang w:val="en-GB"/>
        </w:rPr>
        <w:t>r</w:t>
      </w:r>
      <w:r w:rsidRPr="00755161">
        <w:rPr>
          <w:sz w:val="22"/>
          <w:szCs w:val="22"/>
          <w:lang w:val="en-GB"/>
        </w:rPr>
        <w:t xml:space="preserve">esearch </w:t>
      </w:r>
      <w:r w:rsidR="005E3689">
        <w:rPr>
          <w:sz w:val="22"/>
          <w:szCs w:val="22"/>
          <w:lang w:val="en-GB"/>
        </w:rPr>
        <w:t>d</w:t>
      </w:r>
      <w:r w:rsidRPr="00755161">
        <w:rPr>
          <w:sz w:val="22"/>
          <w:szCs w:val="22"/>
          <w:lang w:val="en-GB"/>
        </w:rPr>
        <w:t xml:space="preserve">omain. In </w:t>
      </w:r>
      <w:r w:rsidR="009652D7" w:rsidRPr="00755161">
        <w:rPr>
          <w:sz w:val="22"/>
          <w:szCs w:val="22"/>
          <w:lang w:val="en-GB"/>
        </w:rPr>
        <w:t xml:space="preserve">Bermann, </w:t>
      </w:r>
      <w:r w:rsidR="00F81914" w:rsidRPr="00755161">
        <w:rPr>
          <w:sz w:val="22"/>
          <w:szCs w:val="22"/>
          <w:lang w:val="en-GB"/>
        </w:rPr>
        <w:t>S</w:t>
      </w:r>
      <w:r w:rsidR="00BA54E1">
        <w:rPr>
          <w:sz w:val="22"/>
          <w:szCs w:val="22"/>
          <w:lang w:val="en-GB"/>
        </w:rPr>
        <w:t>andra</w:t>
      </w:r>
      <w:r w:rsidR="00F81914" w:rsidRPr="00755161">
        <w:rPr>
          <w:sz w:val="22"/>
          <w:szCs w:val="22"/>
          <w:lang w:val="en-GB"/>
        </w:rPr>
        <w:t xml:space="preserve"> &amp;</w:t>
      </w:r>
      <w:r w:rsidR="009652D7" w:rsidRPr="00755161">
        <w:rPr>
          <w:sz w:val="22"/>
          <w:szCs w:val="22"/>
          <w:lang w:val="en-GB"/>
        </w:rPr>
        <w:t xml:space="preserve"> Porter</w:t>
      </w:r>
      <w:r w:rsidR="00F81914" w:rsidRPr="00755161">
        <w:rPr>
          <w:sz w:val="22"/>
          <w:szCs w:val="22"/>
          <w:lang w:val="en-GB"/>
        </w:rPr>
        <w:t>, C</w:t>
      </w:r>
      <w:r w:rsidR="00BA54E1">
        <w:rPr>
          <w:sz w:val="22"/>
          <w:szCs w:val="22"/>
          <w:lang w:val="en-GB"/>
        </w:rPr>
        <w:t>atherine</w:t>
      </w:r>
      <w:r w:rsidR="009652D7" w:rsidRPr="00755161">
        <w:rPr>
          <w:sz w:val="22"/>
          <w:szCs w:val="22"/>
          <w:lang w:val="en-GB"/>
        </w:rPr>
        <w:t xml:space="preserve"> (eds.), </w:t>
      </w:r>
      <w:r w:rsidRPr="00755161">
        <w:rPr>
          <w:i/>
          <w:iCs/>
          <w:sz w:val="22"/>
          <w:szCs w:val="22"/>
          <w:lang w:val="en-GB"/>
        </w:rPr>
        <w:t xml:space="preserve">A </w:t>
      </w:r>
      <w:r w:rsidR="005E3689">
        <w:rPr>
          <w:i/>
          <w:iCs/>
          <w:sz w:val="22"/>
          <w:szCs w:val="22"/>
          <w:lang w:val="en-GB"/>
        </w:rPr>
        <w:t>c</w:t>
      </w:r>
      <w:r w:rsidRPr="00755161">
        <w:rPr>
          <w:i/>
          <w:iCs/>
          <w:sz w:val="22"/>
          <w:szCs w:val="22"/>
          <w:lang w:val="en-GB"/>
        </w:rPr>
        <w:t xml:space="preserve">ompanion to </w:t>
      </w:r>
      <w:r w:rsidR="005E3689">
        <w:rPr>
          <w:i/>
          <w:iCs/>
          <w:sz w:val="22"/>
          <w:szCs w:val="22"/>
          <w:lang w:val="en-GB"/>
        </w:rPr>
        <w:t>t</w:t>
      </w:r>
      <w:r w:rsidRPr="00755161">
        <w:rPr>
          <w:i/>
          <w:iCs/>
          <w:sz w:val="22"/>
          <w:szCs w:val="22"/>
          <w:lang w:val="en-GB"/>
        </w:rPr>
        <w:t xml:space="preserve">ranslation </w:t>
      </w:r>
      <w:r w:rsidR="005E3689">
        <w:rPr>
          <w:i/>
          <w:iCs/>
          <w:sz w:val="22"/>
          <w:szCs w:val="22"/>
          <w:lang w:val="en-GB"/>
        </w:rPr>
        <w:t>s</w:t>
      </w:r>
      <w:r w:rsidRPr="00755161">
        <w:rPr>
          <w:i/>
          <w:iCs/>
          <w:sz w:val="22"/>
          <w:szCs w:val="22"/>
          <w:lang w:val="en-GB"/>
        </w:rPr>
        <w:t>tudies</w:t>
      </w:r>
      <w:r w:rsidRPr="00755161">
        <w:rPr>
          <w:sz w:val="22"/>
          <w:szCs w:val="22"/>
          <w:lang w:val="en-GB"/>
        </w:rPr>
        <w:t>.</w:t>
      </w:r>
      <w:r w:rsidR="00C53027">
        <w:rPr>
          <w:sz w:val="22"/>
          <w:szCs w:val="22"/>
          <w:lang w:val="en-GB"/>
        </w:rPr>
        <w:t xml:space="preserve"> </w:t>
      </w:r>
      <w:r w:rsidR="00F81914" w:rsidRPr="00755161">
        <w:rPr>
          <w:sz w:val="22"/>
          <w:szCs w:val="22"/>
          <w:lang w:val="en-GB"/>
        </w:rPr>
        <w:t xml:space="preserve">Oxford: Wiley Blackwell. </w:t>
      </w:r>
      <w:r w:rsidR="00C53027" w:rsidRPr="00755161">
        <w:rPr>
          <w:sz w:val="22"/>
          <w:szCs w:val="22"/>
          <w:lang w:val="en-GB"/>
        </w:rPr>
        <w:t>82</w:t>
      </w:r>
      <w:r w:rsidR="00D87B28">
        <w:rPr>
          <w:sz w:val="22"/>
          <w:szCs w:val="22"/>
          <w:lang w:val="en-GB"/>
        </w:rPr>
        <w:t>–</w:t>
      </w:r>
      <w:r w:rsidR="00C53027" w:rsidRPr="00755161">
        <w:rPr>
          <w:sz w:val="22"/>
          <w:szCs w:val="22"/>
          <w:lang w:val="en-GB"/>
        </w:rPr>
        <w:t>94</w:t>
      </w:r>
      <w:r w:rsidR="00C53027">
        <w:rPr>
          <w:sz w:val="22"/>
          <w:szCs w:val="22"/>
          <w:lang w:val="en-GB"/>
        </w:rPr>
        <w:t xml:space="preserve">. </w:t>
      </w:r>
      <w:r w:rsidRPr="00755161">
        <w:rPr>
          <w:sz w:val="22"/>
          <w:szCs w:val="22"/>
          <w:lang w:val="en-GB"/>
        </w:rPr>
        <w:t>doi:10.1002/9781118613504</w:t>
      </w:r>
      <w:r w:rsidR="00A50A04">
        <w:rPr>
          <w:sz w:val="22"/>
          <w:szCs w:val="22"/>
          <w:lang w:val="en-GB"/>
        </w:rPr>
        <w:t>.</w:t>
      </w:r>
    </w:p>
    <w:p w14:paraId="483F0AF0" w14:textId="74640B56" w:rsidR="00954BAD" w:rsidRPr="00755161" w:rsidRDefault="00954BAD" w:rsidP="00755F5C">
      <w:pPr>
        <w:spacing w:after="160"/>
        <w:ind w:left="709" w:hanging="720"/>
        <w:jc w:val="both"/>
        <w:rPr>
          <w:sz w:val="22"/>
          <w:szCs w:val="22"/>
          <w:lang w:val="en-GB"/>
        </w:rPr>
      </w:pPr>
      <w:r w:rsidRPr="00755161">
        <w:rPr>
          <w:sz w:val="22"/>
          <w:szCs w:val="22"/>
          <w:lang w:val="en-GB"/>
        </w:rPr>
        <w:t xml:space="preserve">Simeoni, </w:t>
      </w:r>
      <w:r w:rsidR="005E1C42" w:rsidRPr="00755161">
        <w:rPr>
          <w:sz w:val="22"/>
          <w:szCs w:val="22"/>
          <w:lang w:val="en-GB"/>
        </w:rPr>
        <w:t>Daniel</w:t>
      </w:r>
      <w:r w:rsidRPr="00755161">
        <w:rPr>
          <w:sz w:val="22"/>
          <w:szCs w:val="22"/>
          <w:lang w:val="en-GB"/>
        </w:rPr>
        <w:t>. 2007. Between sociology and history</w:t>
      </w:r>
      <w:r w:rsidR="005E1C42" w:rsidRPr="00755161">
        <w:rPr>
          <w:sz w:val="22"/>
          <w:szCs w:val="22"/>
          <w:lang w:val="en-GB"/>
        </w:rPr>
        <w:t>:</w:t>
      </w:r>
      <w:r w:rsidRPr="00755161">
        <w:rPr>
          <w:sz w:val="22"/>
          <w:szCs w:val="22"/>
          <w:lang w:val="en-GB"/>
        </w:rPr>
        <w:t xml:space="preserve"> Method in context and in practice. </w:t>
      </w:r>
      <w:r w:rsidR="005E1C42" w:rsidRPr="00755161">
        <w:rPr>
          <w:sz w:val="22"/>
          <w:szCs w:val="22"/>
          <w:lang w:val="en-GB"/>
        </w:rPr>
        <w:t>In Wolf, M</w:t>
      </w:r>
      <w:r w:rsidR="00BA54E1">
        <w:rPr>
          <w:sz w:val="22"/>
          <w:szCs w:val="22"/>
          <w:lang w:val="en-GB"/>
        </w:rPr>
        <w:t>ichaela</w:t>
      </w:r>
      <w:r w:rsidR="005E1C42" w:rsidRPr="00755161">
        <w:rPr>
          <w:sz w:val="22"/>
          <w:szCs w:val="22"/>
          <w:lang w:val="en-GB"/>
        </w:rPr>
        <w:t xml:space="preserve"> &amp; </w:t>
      </w:r>
      <w:proofErr w:type="spellStart"/>
      <w:r w:rsidR="005E1C42" w:rsidRPr="00755161">
        <w:rPr>
          <w:sz w:val="22"/>
          <w:szCs w:val="22"/>
          <w:lang w:val="en-GB"/>
        </w:rPr>
        <w:t>Fukari</w:t>
      </w:r>
      <w:proofErr w:type="spellEnd"/>
      <w:r w:rsidR="005E1C42" w:rsidRPr="00755161">
        <w:rPr>
          <w:sz w:val="22"/>
          <w:szCs w:val="22"/>
          <w:lang w:val="en-GB"/>
        </w:rPr>
        <w:t xml:space="preserve">, </w:t>
      </w:r>
      <w:r w:rsidR="00C53027">
        <w:rPr>
          <w:sz w:val="22"/>
          <w:szCs w:val="22"/>
          <w:lang w:val="en-GB"/>
        </w:rPr>
        <w:t>A</w:t>
      </w:r>
      <w:r w:rsidR="00BA54E1">
        <w:rPr>
          <w:sz w:val="22"/>
          <w:szCs w:val="22"/>
          <w:lang w:val="en-GB"/>
        </w:rPr>
        <w:t>lexandra</w:t>
      </w:r>
      <w:r w:rsidR="005E1C42" w:rsidRPr="00755161">
        <w:rPr>
          <w:sz w:val="22"/>
          <w:szCs w:val="22"/>
          <w:lang w:val="en-GB"/>
        </w:rPr>
        <w:t xml:space="preserve"> (eds.), </w:t>
      </w:r>
      <w:r w:rsidR="005E1C42" w:rsidRPr="00755161">
        <w:rPr>
          <w:i/>
          <w:iCs/>
          <w:sz w:val="22"/>
          <w:szCs w:val="22"/>
          <w:lang w:val="en-GB"/>
        </w:rPr>
        <w:t>Constructing a sociology of translation</w:t>
      </w:r>
      <w:r w:rsidR="00C53027">
        <w:rPr>
          <w:sz w:val="22"/>
          <w:szCs w:val="22"/>
          <w:lang w:val="en-GB"/>
        </w:rPr>
        <w:t xml:space="preserve">. </w:t>
      </w:r>
      <w:r w:rsidRPr="00755161">
        <w:rPr>
          <w:sz w:val="22"/>
          <w:szCs w:val="22"/>
          <w:lang w:val="en-GB"/>
        </w:rPr>
        <w:t>Amsterdam: John Benjamins.</w:t>
      </w:r>
      <w:r w:rsidR="00C53027">
        <w:rPr>
          <w:sz w:val="22"/>
          <w:szCs w:val="22"/>
          <w:lang w:val="en-GB"/>
        </w:rPr>
        <w:t xml:space="preserve"> </w:t>
      </w:r>
      <w:r w:rsidR="00C53027" w:rsidRPr="00755161">
        <w:rPr>
          <w:sz w:val="22"/>
          <w:szCs w:val="22"/>
          <w:lang w:val="en-GB"/>
        </w:rPr>
        <w:t>187</w:t>
      </w:r>
      <w:r w:rsidR="00D87B28">
        <w:rPr>
          <w:sz w:val="22"/>
          <w:szCs w:val="22"/>
          <w:lang w:val="en-GB"/>
        </w:rPr>
        <w:t>–</w:t>
      </w:r>
      <w:r w:rsidR="00C53027" w:rsidRPr="00755161">
        <w:rPr>
          <w:sz w:val="22"/>
          <w:szCs w:val="22"/>
          <w:lang w:val="en-GB"/>
        </w:rPr>
        <w:t>204.</w:t>
      </w:r>
    </w:p>
    <w:p w14:paraId="72CDBAF0" w14:textId="77D61A4D" w:rsidR="00954BAD" w:rsidRPr="00755161" w:rsidRDefault="00954BAD" w:rsidP="00755F5C">
      <w:pPr>
        <w:spacing w:after="160"/>
        <w:ind w:left="709" w:hanging="720"/>
        <w:jc w:val="both"/>
        <w:rPr>
          <w:sz w:val="22"/>
          <w:szCs w:val="22"/>
          <w:lang w:val="en-GB"/>
        </w:rPr>
      </w:pPr>
      <w:r w:rsidRPr="00755161">
        <w:rPr>
          <w:sz w:val="22"/>
          <w:szCs w:val="22"/>
          <w:lang w:val="en-GB"/>
        </w:rPr>
        <w:t>Snell-Hornby, M</w:t>
      </w:r>
      <w:r w:rsidR="00D519A7" w:rsidRPr="00755161">
        <w:rPr>
          <w:sz w:val="22"/>
          <w:szCs w:val="22"/>
          <w:lang w:val="en-GB"/>
        </w:rPr>
        <w:t>ary</w:t>
      </w:r>
      <w:r w:rsidRPr="00755161">
        <w:rPr>
          <w:sz w:val="22"/>
          <w:szCs w:val="22"/>
          <w:lang w:val="en-GB"/>
        </w:rPr>
        <w:t xml:space="preserve">. 2006. </w:t>
      </w:r>
      <w:r w:rsidRPr="00755161">
        <w:rPr>
          <w:i/>
          <w:iCs/>
          <w:sz w:val="22"/>
          <w:szCs w:val="22"/>
          <w:lang w:val="en-GB"/>
        </w:rPr>
        <w:t xml:space="preserve">The </w:t>
      </w:r>
      <w:r w:rsidR="00BA54E1">
        <w:rPr>
          <w:i/>
          <w:iCs/>
          <w:sz w:val="22"/>
          <w:szCs w:val="22"/>
          <w:lang w:val="en-GB"/>
        </w:rPr>
        <w:t>t</w:t>
      </w:r>
      <w:r w:rsidRPr="00755161">
        <w:rPr>
          <w:i/>
          <w:iCs/>
          <w:sz w:val="22"/>
          <w:szCs w:val="22"/>
          <w:lang w:val="en-GB"/>
        </w:rPr>
        <w:t xml:space="preserve">urns of </w:t>
      </w:r>
      <w:r w:rsidR="00BA54E1">
        <w:rPr>
          <w:i/>
          <w:iCs/>
          <w:sz w:val="22"/>
          <w:szCs w:val="22"/>
          <w:lang w:val="en-GB"/>
        </w:rPr>
        <w:t>t</w:t>
      </w:r>
      <w:r w:rsidRPr="00755161">
        <w:rPr>
          <w:i/>
          <w:iCs/>
          <w:sz w:val="22"/>
          <w:szCs w:val="22"/>
          <w:lang w:val="en-GB"/>
        </w:rPr>
        <w:t xml:space="preserve">ranslation </w:t>
      </w:r>
      <w:r w:rsidR="00BA54E1">
        <w:rPr>
          <w:i/>
          <w:iCs/>
          <w:sz w:val="22"/>
          <w:szCs w:val="22"/>
          <w:lang w:val="en-GB"/>
        </w:rPr>
        <w:t>s</w:t>
      </w:r>
      <w:r w:rsidRPr="00755161">
        <w:rPr>
          <w:i/>
          <w:iCs/>
          <w:sz w:val="22"/>
          <w:szCs w:val="22"/>
          <w:lang w:val="en-GB"/>
        </w:rPr>
        <w:t>tudies: New paradigms or shifting viewpoints?</w:t>
      </w:r>
      <w:r w:rsidRPr="00755161">
        <w:rPr>
          <w:sz w:val="22"/>
          <w:szCs w:val="22"/>
          <w:lang w:val="en-GB"/>
        </w:rPr>
        <w:t xml:space="preserve"> Amsterdam: John Benjamins.</w:t>
      </w:r>
    </w:p>
    <w:p w14:paraId="0C9C50C0" w14:textId="6BBBF67A"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Tyulenev</w:t>
      </w:r>
      <w:proofErr w:type="spellEnd"/>
      <w:r w:rsidRPr="00755161">
        <w:rPr>
          <w:sz w:val="22"/>
          <w:szCs w:val="22"/>
          <w:lang w:val="en-GB"/>
        </w:rPr>
        <w:t xml:space="preserve">, </w:t>
      </w:r>
      <w:r w:rsidR="002377FF" w:rsidRPr="00755161">
        <w:rPr>
          <w:sz w:val="22"/>
          <w:szCs w:val="22"/>
          <w:lang w:val="en-GB"/>
        </w:rPr>
        <w:t>Sergey</w:t>
      </w:r>
      <w:r w:rsidRPr="00755161">
        <w:rPr>
          <w:sz w:val="22"/>
          <w:szCs w:val="22"/>
          <w:lang w:val="en-GB"/>
        </w:rPr>
        <w:t xml:space="preserve">. 2012. </w:t>
      </w:r>
      <w:r w:rsidRPr="00755161">
        <w:rPr>
          <w:i/>
          <w:iCs/>
          <w:sz w:val="22"/>
          <w:szCs w:val="22"/>
          <w:lang w:val="en-GB"/>
        </w:rPr>
        <w:t xml:space="preserve">Applying Luhmann to </w:t>
      </w:r>
      <w:r w:rsidR="005E3689">
        <w:rPr>
          <w:i/>
          <w:iCs/>
          <w:sz w:val="22"/>
          <w:szCs w:val="22"/>
          <w:lang w:val="en-GB"/>
        </w:rPr>
        <w:t>t</w:t>
      </w:r>
      <w:r w:rsidRPr="00755161">
        <w:rPr>
          <w:i/>
          <w:iCs/>
          <w:sz w:val="22"/>
          <w:szCs w:val="22"/>
          <w:lang w:val="en-GB"/>
        </w:rPr>
        <w:t xml:space="preserve">ranslation </w:t>
      </w:r>
      <w:r w:rsidR="005E3689">
        <w:rPr>
          <w:i/>
          <w:iCs/>
          <w:sz w:val="22"/>
          <w:szCs w:val="22"/>
          <w:lang w:val="en-GB"/>
        </w:rPr>
        <w:t>s</w:t>
      </w:r>
      <w:r w:rsidRPr="00755161">
        <w:rPr>
          <w:i/>
          <w:iCs/>
          <w:sz w:val="22"/>
          <w:szCs w:val="22"/>
          <w:lang w:val="en-GB"/>
        </w:rPr>
        <w:t xml:space="preserve">tudies: Translation in </w:t>
      </w:r>
      <w:r w:rsidR="005E3689">
        <w:rPr>
          <w:i/>
          <w:iCs/>
          <w:sz w:val="22"/>
          <w:szCs w:val="22"/>
          <w:lang w:val="en-GB"/>
        </w:rPr>
        <w:t>s</w:t>
      </w:r>
      <w:r w:rsidRPr="00755161">
        <w:rPr>
          <w:i/>
          <w:iCs/>
          <w:sz w:val="22"/>
          <w:szCs w:val="22"/>
          <w:lang w:val="en-GB"/>
        </w:rPr>
        <w:t>ociety</w:t>
      </w:r>
      <w:r w:rsidRPr="00755161">
        <w:rPr>
          <w:sz w:val="22"/>
          <w:szCs w:val="22"/>
          <w:lang w:val="en-GB"/>
        </w:rPr>
        <w:t>. London: Routledge.</w:t>
      </w:r>
    </w:p>
    <w:p w14:paraId="20431819" w14:textId="24EBA5ED"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Tyulenev</w:t>
      </w:r>
      <w:proofErr w:type="spellEnd"/>
      <w:r w:rsidRPr="00755161">
        <w:rPr>
          <w:sz w:val="22"/>
          <w:szCs w:val="22"/>
          <w:lang w:val="en-GB"/>
        </w:rPr>
        <w:t xml:space="preserve">, </w:t>
      </w:r>
      <w:r w:rsidR="002377FF" w:rsidRPr="00755161">
        <w:rPr>
          <w:sz w:val="22"/>
          <w:szCs w:val="22"/>
          <w:lang w:val="en-GB"/>
        </w:rPr>
        <w:t>Sergey</w:t>
      </w:r>
      <w:r w:rsidRPr="00755161">
        <w:rPr>
          <w:sz w:val="22"/>
          <w:szCs w:val="22"/>
          <w:lang w:val="en-GB"/>
        </w:rPr>
        <w:t xml:space="preserve">. 2013. Translating in the </w:t>
      </w:r>
      <w:r w:rsidR="005E3689">
        <w:rPr>
          <w:sz w:val="22"/>
          <w:szCs w:val="22"/>
          <w:lang w:val="en-GB"/>
        </w:rPr>
        <w:t>p</w:t>
      </w:r>
      <w:r w:rsidRPr="00755161">
        <w:rPr>
          <w:sz w:val="22"/>
          <w:szCs w:val="22"/>
          <w:lang w:val="en-GB"/>
        </w:rPr>
        <w:t xml:space="preserve">ublic </w:t>
      </w:r>
      <w:r w:rsidR="005E3689">
        <w:rPr>
          <w:sz w:val="22"/>
          <w:szCs w:val="22"/>
          <w:lang w:val="en-GB"/>
        </w:rPr>
        <w:t>s</w:t>
      </w:r>
      <w:r w:rsidRPr="00755161">
        <w:rPr>
          <w:sz w:val="22"/>
          <w:szCs w:val="22"/>
          <w:lang w:val="en-GB"/>
        </w:rPr>
        <w:t xml:space="preserve">phere: Birth </w:t>
      </w:r>
      <w:r w:rsidR="005E3689">
        <w:rPr>
          <w:sz w:val="22"/>
          <w:szCs w:val="22"/>
          <w:lang w:val="en-GB"/>
        </w:rPr>
        <w:t>p</w:t>
      </w:r>
      <w:r w:rsidRPr="00755161">
        <w:rPr>
          <w:sz w:val="22"/>
          <w:szCs w:val="22"/>
          <w:lang w:val="en-GB"/>
        </w:rPr>
        <w:t xml:space="preserve">angs of a </w:t>
      </w:r>
      <w:r w:rsidR="005E3689">
        <w:rPr>
          <w:sz w:val="22"/>
          <w:szCs w:val="22"/>
          <w:lang w:val="en-GB"/>
        </w:rPr>
        <w:t>d</w:t>
      </w:r>
      <w:r w:rsidRPr="00755161">
        <w:rPr>
          <w:sz w:val="22"/>
          <w:szCs w:val="22"/>
          <w:lang w:val="en-GB"/>
        </w:rPr>
        <w:t xml:space="preserve">eveloping </w:t>
      </w:r>
      <w:r w:rsidR="005E3689">
        <w:rPr>
          <w:sz w:val="22"/>
          <w:szCs w:val="22"/>
          <w:lang w:val="en-GB"/>
        </w:rPr>
        <w:t>d</w:t>
      </w:r>
      <w:r w:rsidRPr="00755161">
        <w:rPr>
          <w:sz w:val="22"/>
          <w:szCs w:val="22"/>
          <w:lang w:val="en-GB"/>
        </w:rPr>
        <w:t xml:space="preserve">emocracy in </w:t>
      </w:r>
      <w:r w:rsidR="005E3689">
        <w:rPr>
          <w:sz w:val="22"/>
          <w:szCs w:val="22"/>
          <w:lang w:val="en-GB"/>
        </w:rPr>
        <w:t>t</w:t>
      </w:r>
      <w:r w:rsidRPr="00755161">
        <w:rPr>
          <w:sz w:val="22"/>
          <w:szCs w:val="22"/>
          <w:lang w:val="en-GB"/>
        </w:rPr>
        <w:t xml:space="preserve">oday’s Russia. </w:t>
      </w:r>
      <w:r w:rsidRPr="00755161">
        <w:rPr>
          <w:i/>
          <w:iCs/>
          <w:sz w:val="22"/>
          <w:szCs w:val="22"/>
          <w:lang w:val="en-GB"/>
        </w:rPr>
        <w:t xml:space="preserve">SALALS </w:t>
      </w:r>
      <w:r w:rsidRPr="00755161">
        <w:rPr>
          <w:sz w:val="22"/>
          <w:szCs w:val="22"/>
          <w:lang w:val="en-GB"/>
        </w:rPr>
        <w:t>31(4)</w:t>
      </w:r>
      <w:r w:rsidR="00C53027">
        <w:rPr>
          <w:sz w:val="22"/>
          <w:szCs w:val="22"/>
          <w:lang w:val="en-GB"/>
        </w:rPr>
        <w:t>:</w:t>
      </w:r>
      <w:r w:rsidRPr="00755161">
        <w:rPr>
          <w:sz w:val="22"/>
          <w:szCs w:val="22"/>
          <w:lang w:val="en-GB"/>
        </w:rPr>
        <w:t xml:space="preserve"> 469</w:t>
      </w:r>
      <w:r w:rsidR="00D87B28">
        <w:rPr>
          <w:sz w:val="22"/>
          <w:szCs w:val="22"/>
          <w:lang w:val="en-GB"/>
        </w:rPr>
        <w:t>–</w:t>
      </w:r>
      <w:r w:rsidRPr="00755161">
        <w:rPr>
          <w:sz w:val="22"/>
          <w:szCs w:val="22"/>
          <w:lang w:val="en-GB"/>
        </w:rPr>
        <w:t>479. doi.o</w:t>
      </w:r>
      <w:r w:rsidR="00551F5E">
        <w:rPr>
          <w:sz w:val="22"/>
          <w:szCs w:val="22"/>
          <w:lang w:val="en-GB"/>
        </w:rPr>
        <w:t>rg/10.2989/16073614.2013.864443</w:t>
      </w:r>
      <w:r w:rsidR="00A50A04">
        <w:rPr>
          <w:sz w:val="22"/>
          <w:szCs w:val="22"/>
          <w:lang w:val="en-GB"/>
        </w:rPr>
        <w:t>.</w:t>
      </w:r>
    </w:p>
    <w:p w14:paraId="265F2245" w14:textId="10C55844" w:rsidR="00954BAD" w:rsidRPr="00755161" w:rsidRDefault="00954BAD" w:rsidP="00755F5C">
      <w:pPr>
        <w:spacing w:after="160"/>
        <w:ind w:left="709" w:hanging="720"/>
        <w:jc w:val="both"/>
        <w:rPr>
          <w:sz w:val="22"/>
          <w:szCs w:val="22"/>
          <w:lang w:val="en-GB"/>
        </w:rPr>
      </w:pPr>
      <w:proofErr w:type="spellStart"/>
      <w:r w:rsidRPr="00755161">
        <w:rPr>
          <w:sz w:val="22"/>
          <w:szCs w:val="22"/>
          <w:lang w:val="en-GB"/>
        </w:rPr>
        <w:t>Vorderobermeier</w:t>
      </w:r>
      <w:proofErr w:type="spellEnd"/>
      <w:r w:rsidRPr="00755161">
        <w:rPr>
          <w:sz w:val="22"/>
          <w:szCs w:val="22"/>
          <w:lang w:val="en-GB"/>
        </w:rPr>
        <w:t>, G</w:t>
      </w:r>
      <w:r w:rsidR="00F94598" w:rsidRPr="00755161">
        <w:rPr>
          <w:sz w:val="22"/>
          <w:szCs w:val="22"/>
          <w:lang w:val="en-GB"/>
        </w:rPr>
        <w:t>isella</w:t>
      </w:r>
      <w:r w:rsidRPr="00755161">
        <w:rPr>
          <w:sz w:val="22"/>
          <w:szCs w:val="22"/>
          <w:lang w:val="en-GB"/>
        </w:rPr>
        <w:t xml:space="preserve"> M. 2014. </w:t>
      </w:r>
      <w:r w:rsidRPr="00755161">
        <w:rPr>
          <w:i/>
          <w:iCs/>
          <w:sz w:val="22"/>
          <w:szCs w:val="22"/>
          <w:lang w:val="en-GB"/>
        </w:rPr>
        <w:t xml:space="preserve">Remapping </w:t>
      </w:r>
      <w:r w:rsidR="005E3689">
        <w:rPr>
          <w:i/>
          <w:iCs/>
          <w:sz w:val="22"/>
          <w:szCs w:val="22"/>
          <w:lang w:val="en-GB"/>
        </w:rPr>
        <w:t>h</w:t>
      </w:r>
      <w:r w:rsidRPr="00755161">
        <w:rPr>
          <w:i/>
          <w:iCs/>
          <w:sz w:val="22"/>
          <w:szCs w:val="22"/>
          <w:lang w:val="en-GB"/>
        </w:rPr>
        <w:t xml:space="preserve">abitus in </w:t>
      </w:r>
      <w:r w:rsidR="005E3689">
        <w:rPr>
          <w:i/>
          <w:iCs/>
          <w:sz w:val="22"/>
          <w:szCs w:val="22"/>
          <w:lang w:val="en-GB"/>
        </w:rPr>
        <w:t>t</w:t>
      </w:r>
      <w:r w:rsidRPr="00755161">
        <w:rPr>
          <w:i/>
          <w:iCs/>
          <w:sz w:val="22"/>
          <w:szCs w:val="22"/>
          <w:lang w:val="en-GB"/>
        </w:rPr>
        <w:t xml:space="preserve">ranslation </w:t>
      </w:r>
      <w:r w:rsidR="005E3689">
        <w:rPr>
          <w:i/>
          <w:iCs/>
          <w:sz w:val="22"/>
          <w:szCs w:val="22"/>
          <w:lang w:val="en-GB"/>
        </w:rPr>
        <w:t>s</w:t>
      </w:r>
      <w:r w:rsidRPr="00755161">
        <w:rPr>
          <w:i/>
          <w:iCs/>
          <w:sz w:val="22"/>
          <w:szCs w:val="22"/>
          <w:lang w:val="en-GB"/>
        </w:rPr>
        <w:t>tudies</w:t>
      </w:r>
      <w:r w:rsidRPr="00755161">
        <w:rPr>
          <w:sz w:val="22"/>
          <w:szCs w:val="22"/>
          <w:lang w:val="en-GB"/>
        </w:rPr>
        <w:t xml:space="preserve">. Amsterdam: </w:t>
      </w:r>
      <w:proofErr w:type="spellStart"/>
      <w:r w:rsidRPr="00755161">
        <w:rPr>
          <w:sz w:val="22"/>
          <w:szCs w:val="22"/>
          <w:lang w:val="en-GB"/>
        </w:rPr>
        <w:t>Rodopi</w:t>
      </w:r>
      <w:proofErr w:type="spellEnd"/>
      <w:r w:rsidRPr="00755161">
        <w:rPr>
          <w:sz w:val="22"/>
          <w:szCs w:val="22"/>
          <w:lang w:val="en-GB"/>
        </w:rPr>
        <w:t>.</w:t>
      </w:r>
    </w:p>
    <w:p w14:paraId="1BCD3762" w14:textId="7F493575" w:rsidR="00954BAD" w:rsidRPr="00B07CFB" w:rsidRDefault="00954BAD" w:rsidP="00755F5C">
      <w:pPr>
        <w:spacing w:after="160"/>
        <w:ind w:left="709" w:hanging="720"/>
        <w:jc w:val="both"/>
        <w:rPr>
          <w:sz w:val="22"/>
          <w:szCs w:val="22"/>
          <w:lang w:val="de-AT"/>
        </w:rPr>
      </w:pPr>
      <w:r w:rsidRPr="00755161">
        <w:rPr>
          <w:sz w:val="22"/>
          <w:szCs w:val="22"/>
          <w:lang w:val="en-GB"/>
        </w:rPr>
        <w:t>Williams, J</w:t>
      </w:r>
      <w:r w:rsidR="00CA7544" w:rsidRPr="00755161">
        <w:rPr>
          <w:sz w:val="22"/>
          <w:szCs w:val="22"/>
          <w:lang w:val="en-GB"/>
        </w:rPr>
        <w:t>enny</w:t>
      </w:r>
      <w:r w:rsidRPr="00755161">
        <w:rPr>
          <w:sz w:val="22"/>
          <w:szCs w:val="22"/>
          <w:lang w:val="en-GB"/>
        </w:rPr>
        <w:t xml:space="preserve"> </w:t>
      </w:r>
      <w:r w:rsidR="00C657A2" w:rsidRPr="00755161">
        <w:rPr>
          <w:sz w:val="22"/>
          <w:szCs w:val="22"/>
          <w:lang w:val="en-GB"/>
        </w:rPr>
        <w:t>&amp;</w:t>
      </w:r>
      <w:r w:rsidRPr="00755161">
        <w:rPr>
          <w:sz w:val="22"/>
          <w:szCs w:val="22"/>
          <w:lang w:val="en-GB"/>
        </w:rPr>
        <w:t xml:space="preserve"> Chesterman</w:t>
      </w:r>
      <w:r w:rsidR="00CA7544" w:rsidRPr="00755161">
        <w:rPr>
          <w:sz w:val="22"/>
          <w:szCs w:val="22"/>
          <w:lang w:val="en-GB"/>
        </w:rPr>
        <w:t>, Andrew</w:t>
      </w:r>
      <w:r w:rsidRPr="00755161">
        <w:rPr>
          <w:sz w:val="22"/>
          <w:szCs w:val="22"/>
          <w:lang w:val="en-GB"/>
        </w:rPr>
        <w:t xml:space="preserve">. 2002. </w:t>
      </w:r>
      <w:r w:rsidRPr="00755161">
        <w:rPr>
          <w:i/>
          <w:iCs/>
          <w:sz w:val="22"/>
          <w:szCs w:val="22"/>
          <w:lang w:val="en-GB"/>
        </w:rPr>
        <w:t xml:space="preserve">The </w:t>
      </w:r>
      <w:r w:rsidR="005E3689">
        <w:rPr>
          <w:i/>
          <w:iCs/>
          <w:sz w:val="22"/>
          <w:szCs w:val="22"/>
          <w:lang w:val="en-GB"/>
        </w:rPr>
        <w:t>m</w:t>
      </w:r>
      <w:r w:rsidRPr="00755161">
        <w:rPr>
          <w:i/>
          <w:iCs/>
          <w:sz w:val="22"/>
          <w:szCs w:val="22"/>
          <w:lang w:val="en-GB"/>
        </w:rPr>
        <w:t xml:space="preserve">ap: A Beginner’s </w:t>
      </w:r>
      <w:r w:rsidR="005E3689">
        <w:rPr>
          <w:i/>
          <w:iCs/>
          <w:sz w:val="22"/>
          <w:szCs w:val="22"/>
          <w:lang w:val="en-GB"/>
        </w:rPr>
        <w:t>g</w:t>
      </w:r>
      <w:r w:rsidRPr="00755161">
        <w:rPr>
          <w:i/>
          <w:iCs/>
          <w:sz w:val="22"/>
          <w:szCs w:val="22"/>
          <w:lang w:val="en-GB"/>
        </w:rPr>
        <w:t xml:space="preserve">uide to </w:t>
      </w:r>
      <w:r w:rsidR="005E3689">
        <w:rPr>
          <w:i/>
          <w:iCs/>
          <w:sz w:val="22"/>
          <w:szCs w:val="22"/>
          <w:lang w:val="en-GB"/>
        </w:rPr>
        <w:t>d</w:t>
      </w:r>
      <w:r w:rsidRPr="00755161">
        <w:rPr>
          <w:i/>
          <w:iCs/>
          <w:sz w:val="22"/>
          <w:szCs w:val="22"/>
          <w:lang w:val="en-GB"/>
        </w:rPr>
        <w:t xml:space="preserve">oing </w:t>
      </w:r>
      <w:r w:rsidR="005E3689">
        <w:rPr>
          <w:i/>
          <w:iCs/>
          <w:sz w:val="22"/>
          <w:szCs w:val="22"/>
          <w:lang w:val="en-GB"/>
        </w:rPr>
        <w:t>r</w:t>
      </w:r>
      <w:r w:rsidRPr="00755161">
        <w:rPr>
          <w:i/>
          <w:iCs/>
          <w:sz w:val="22"/>
          <w:szCs w:val="22"/>
          <w:lang w:val="en-GB"/>
        </w:rPr>
        <w:t xml:space="preserve">esearch in translation </w:t>
      </w:r>
      <w:r w:rsidR="005E3689">
        <w:rPr>
          <w:i/>
          <w:iCs/>
          <w:sz w:val="22"/>
          <w:szCs w:val="22"/>
          <w:lang w:val="en-GB"/>
        </w:rPr>
        <w:t>s</w:t>
      </w:r>
      <w:r w:rsidRPr="00755161">
        <w:rPr>
          <w:i/>
          <w:iCs/>
          <w:sz w:val="22"/>
          <w:szCs w:val="22"/>
          <w:lang w:val="en-GB"/>
        </w:rPr>
        <w:t>tudies</w:t>
      </w:r>
      <w:r w:rsidRPr="00755161">
        <w:rPr>
          <w:sz w:val="22"/>
          <w:szCs w:val="22"/>
          <w:lang w:val="en-GB"/>
        </w:rPr>
        <w:t xml:space="preserve">. </w:t>
      </w:r>
      <w:r w:rsidRPr="00B07CFB">
        <w:rPr>
          <w:sz w:val="22"/>
          <w:szCs w:val="22"/>
          <w:lang w:val="de-AT"/>
        </w:rPr>
        <w:t>Manchester: St. Jerome.</w:t>
      </w:r>
    </w:p>
    <w:p w14:paraId="63F710DB" w14:textId="0C585DFC" w:rsidR="00954BAD" w:rsidRPr="00755161" w:rsidRDefault="00954BAD" w:rsidP="00755F5C">
      <w:pPr>
        <w:spacing w:after="160"/>
        <w:ind w:left="709" w:hanging="720"/>
        <w:jc w:val="both"/>
        <w:rPr>
          <w:sz w:val="22"/>
          <w:szCs w:val="22"/>
          <w:lang w:val="en-GB"/>
        </w:rPr>
      </w:pPr>
      <w:r w:rsidRPr="00B07CFB">
        <w:rPr>
          <w:sz w:val="22"/>
          <w:szCs w:val="22"/>
          <w:lang w:val="de-AT"/>
        </w:rPr>
        <w:t xml:space="preserve">Wolf, </w:t>
      </w:r>
      <w:r w:rsidR="0038414D" w:rsidRPr="00B07CFB">
        <w:rPr>
          <w:sz w:val="22"/>
          <w:szCs w:val="22"/>
          <w:lang w:val="de-AT"/>
        </w:rPr>
        <w:t>Michaela</w:t>
      </w:r>
      <w:r w:rsidRPr="00B07CFB">
        <w:rPr>
          <w:sz w:val="22"/>
          <w:szCs w:val="22"/>
          <w:lang w:val="de-AT"/>
        </w:rPr>
        <w:t xml:space="preserve">. 2005. </w:t>
      </w:r>
      <w:r w:rsidRPr="00FE0B67">
        <w:rPr>
          <w:sz w:val="22"/>
          <w:szCs w:val="22"/>
          <w:lang w:val="de-AT"/>
        </w:rPr>
        <w:t xml:space="preserve">Die vielsprachige Seele Kakaniens. </w:t>
      </w:r>
      <w:r w:rsidRPr="006656A1">
        <w:rPr>
          <w:sz w:val="22"/>
          <w:szCs w:val="22"/>
          <w:lang w:val="de-AT"/>
        </w:rPr>
        <w:t xml:space="preserve">Translation als soziale und kulturelle Praxis in der Habsburgermonarchie 1848 bis 1918. </w:t>
      </w:r>
      <w:r w:rsidRPr="00755161">
        <w:rPr>
          <w:sz w:val="22"/>
          <w:szCs w:val="22"/>
          <w:lang w:val="en-GB"/>
        </w:rPr>
        <w:t>Graz</w:t>
      </w:r>
      <w:r w:rsidR="00CB3110">
        <w:rPr>
          <w:sz w:val="22"/>
          <w:szCs w:val="22"/>
          <w:lang w:val="en-GB"/>
        </w:rPr>
        <w:t>: Karl-</w:t>
      </w:r>
      <w:proofErr w:type="spellStart"/>
      <w:r w:rsidR="00CB3110">
        <w:rPr>
          <w:sz w:val="22"/>
          <w:szCs w:val="22"/>
          <w:lang w:val="en-GB"/>
        </w:rPr>
        <w:t>Franzens</w:t>
      </w:r>
      <w:proofErr w:type="spellEnd"/>
      <w:r w:rsidR="00CB3110">
        <w:rPr>
          <w:sz w:val="22"/>
          <w:szCs w:val="22"/>
          <w:lang w:val="en-GB"/>
        </w:rPr>
        <w:t>-Universität</w:t>
      </w:r>
      <w:r w:rsidRPr="00755161">
        <w:rPr>
          <w:sz w:val="22"/>
          <w:szCs w:val="22"/>
          <w:lang w:val="en-GB"/>
        </w:rPr>
        <w:t xml:space="preserve">. </w:t>
      </w:r>
      <w:r w:rsidR="008956D4" w:rsidRPr="00755161">
        <w:rPr>
          <w:sz w:val="22"/>
          <w:szCs w:val="22"/>
          <w:lang w:val="en-GB"/>
        </w:rPr>
        <w:t>(Postdoctoral thesis</w:t>
      </w:r>
      <w:r w:rsidR="008956D4">
        <w:rPr>
          <w:sz w:val="22"/>
          <w:szCs w:val="22"/>
          <w:lang w:val="en-GB"/>
        </w:rPr>
        <w:t>.)</w:t>
      </w:r>
    </w:p>
    <w:p w14:paraId="1B476B86" w14:textId="3CAB8088" w:rsidR="00954BAD" w:rsidRPr="00755161" w:rsidRDefault="00954BAD" w:rsidP="00755F5C">
      <w:pPr>
        <w:spacing w:after="160"/>
        <w:ind w:left="709" w:hanging="720"/>
        <w:jc w:val="both"/>
        <w:rPr>
          <w:sz w:val="22"/>
          <w:szCs w:val="22"/>
          <w:lang w:val="en-GB"/>
        </w:rPr>
      </w:pPr>
      <w:r w:rsidRPr="00755161">
        <w:rPr>
          <w:sz w:val="22"/>
          <w:szCs w:val="22"/>
          <w:lang w:val="en-GB"/>
        </w:rPr>
        <w:t xml:space="preserve">Wolf, </w:t>
      </w:r>
      <w:r w:rsidR="0038414D" w:rsidRPr="00755161">
        <w:rPr>
          <w:sz w:val="22"/>
          <w:szCs w:val="22"/>
          <w:lang w:val="en-GB"/>
        </w:rPr>
        <w:t>Michaela</w:t>
      </w:r>
      <w:r w:rsidRPr="00755161">
        <w:rPr>
          <w:sz w:val="22"/>
          <w:szCs w:val="22"/>
          <w:lang w:val="en-GB"/>
        </w:rPr>
        <w:t>. 2007. Introduction: The emergence of a sociology of translation. In Wolf</w:t>
      </w:r>
      <w:r w:rsidR="006870FF" w:rsidRPr="00755161">
        <w:rPr>
          <w:sz w:val="22"/>
          <w:szCs w:val="22"/>
          <w:lang w:val="en-GB"/>
        </w:rPr>
        <w:t>,</w:t>
      </w:r>
      <w:r w:rsidRPr="00755161">
        <w:rPr>
          <w:sz w:val="22"/>
          <w:szCs w:val="22"/>
          <w:lang w:val="en-GB"/>
        </w:rPr>
        <w:t xml:space="preserve"> </w:t>
      </w:r>
      <w:r w:rsidR="00CB3110">
        <w:rPr>
          <w:sz w:val="22"/>
          <w:szCs w:val="22"/>
          <w:lang w:val="en-GB"/>
        </w:rPr>
        <w:t>M</w:t>
      </w:r>
      <w:r w:rsidR="00E11ECF">
        <w:rPr>
          <w:sz w:val="22"/>
          <w:szCs w:val="22"/>
          <w:lang w:val="en-GB"/>
        </w:rPr>
        <w:t>ichaela</w:t>
      </w:r>
      <w:r w:rsidR="006870FF" w:rsidRPr="00755161">
        <w:rPr>
          <w:sz w:val="22"/>
          <w:szCs w:val="22"/>
          <w:lang w:val="en-GB"/>
        </w:rPr>
        <w:t xml:space="preserve"> &amp;</w:t>
      </w:r>
      <w:r w:rsidRPr="00755161">
        <w:rPr>
          <w:sz w:val="22"/>
          <w:szCs w:val="22"/>
          <w:lang w:val="en-GB"/>
        </w:rPr>
        <w:t xml:space="preserve"> </w:t>
      </w:r>
      <w:proofErr w:type="spellStart"/>
      <w:r w:rsidRPr="00755161">
        <w:rPr>
          <w:sz w:val="22"/>
          <w:szCs w:val="22"/>
          <w:lang w:val="en-GB"/>
        </w:rPr>
        <w:t>Fukari</w:t>
      </w:r>
      <w:proofErr w:type="spellEnd"/>
      <w:r w:rsidR="006870FF" w:rsidRPr="00755161">
        <w:rPr>
          <w:sz w:val="22"/>
          <w:szCs w:val="22"/>
          <w:lang w:val="en-GB"/>
        </w:rPr>
        <w:t>, A</w:t>
      </w:r>
      <w:r w:rsidR="00E11ECF">
        <w:rPr>
          <w:sz w:val="22"/>
          <w:szCs w:val="22"/>
          <w:lang w:val="en-GB"/>
        </w:rPr>
        <w:t>lexandra</w:t>
      </w:r>
      <w:r w:rsidRPr="00755161">
        <w:rPr>
          <w:sz w:val="22"/>
          <w:szCs w:val="22"/>
          <w:lang w:val="en-GB"/>
        </w:rPr>
        <w:t xml:space="preserve"> </w:t>
      </w:r>
      <w:r w:rsidR="006870FF" w:rsidRPr="00755161">
        <w:rPr>
          <w:sz w:val="22"/>
          <w:szCs w:val="22"/>
          <w:lang w:val="en-GB"/>
        </w:rPr>
        <w:t xml:space="preserve">(eds.), </w:t>
      </w:r>
      <w:r w:rsidR="006870FF" w:rsidRPr="00755161">
        <w:rPr>
          <w:i/>
          <w:iCs/>
          <w:sz w:val="22"/>
          <w:szCs w:val="22"/>
          <w:lang w:val="en-GB"/>
        </w:rPr>
        <w:t>Constructing a sociology of translation</w:t>
      </w:r>
      <w:r w:rsidR="00CB3110">
        <w:rPr>
          <w:sz w:val="22"/>
          <w:szCs w:val="22"/>
          <w:lang w:val="en-GB"/>
        </w:rPr>
        <w:t xml:space="preserve">. </w:t>
      </w:r>
      <w:r w:rsidRPr="00755161">
        <w:rPr>
          <w:sz w:val="22"/>
          <w:szCs w:val="22"/>
          <w:lang w:val="en-GB"/>
        </w:rPr>
        <w:t xml:space="preserve">Amsterdam: John Benjamins. </w:t>
      </w:r>
      <w:r w:rsidR="00CB3110" w:rsidRPr="00755161">
        <w:rPr>
          <w:sz w:val="22"/>
          <w:szCs w:val="22"/>
          <w:lang w:val="en-GB"/>
        </w:rPr>
        <w:t>1</w:t>
      </w:r>
      <w:r w:rsidR="00D87B28">
        <w:rPr>
          <w:sz w:val="22"/>
          <w:szCs w:val="22"/>
          <w:lang w:val="en-GB"/>
        </w:rPr>
        <w:t>–</w:t>
      </w:r>
      <w:r w:rsidR="00CB3110" w:rsidRPr="00755161">
        <w:rPr>
          <w:sz w:val="22"/>
          <w:szCs w:val="22"/>
          <w:lang w:val="en-GB"/>
        </w:rPr>
        <w:t>36.</w:t>
      </w:r>
    </w:p>
    <w:p w14:paraId="4F92061F" w14:textId="3694CAD5" w:rsidR="00954BAD" w:rsidRPr="00755161" w:rsidRDefault="00954BAD" w:rsidP="00755F5C">
      <w:pPr>
        <w:spacing w:after="160"/>
        <w:ind w:left="709" w:hanging="720"/>
        <w:jc w:val="both"/>
        <w:rPr>
          <w:sz w:val="22"/>
          <w:szCs w:val="22"/>
          <w:lang w:val="en-GB"/>
        </w:rPr>
      </w:pPr>
      <w:r w:rsidRPr="00755161">
        <w:rPr>
          <w:sz w:val="22"/>
          <w:szCs w:val="22"/>
          <w:lang w:val="en-GB"/>
        </w:rPr>
        <w:t xml:space="preserve">Wolf, </w:t>
      </w:r>
      <w:bookmarkStart w:id="27" w:name="_Hlk143168839"/>
      <w:r w:rsidR="0038414D" w:rsidRPr="00755161">
        <w:rPr>
          <w:sz w:val="22"/>
          <w:szCs w:val="22"/>
          <w:lang w:val="en-GB"/>
        </w:rPr>
        <w:t>Michaela</w:t>
      </w:r>
      <w:bookmarkEnd w:id="27"/>
      <w:r w:rsidRPr="00755161">
        <w:rPr>
          <w:sz w:val="22"/>
          <w:szCs w:val="22"/>
          <w:lang w:val="en-GB"/>
        </w:rPr>
        <w:t xml:space="preserve">. 2012. The </w:t>
      </w:r>
      <w:r w:rsidR="00E11ECF">
        <w:rPr>
          <w:sz w:val="22"/>
          <w:szCs w:val="22"/>
          <w:lang w:val="en-GB"/>
        </w:rPr>
        <w:t>s</w:t>
      </w:r>
      <w:r w:rsidRPr="00755161">
        <w:rPr>
          <w:sz w:val="22"/>
          <w:szCs w:val="22"/>
          <w:lang w:val="en-GB"/>
        </w:rPr>
        <w:t xml:space="preserve">ociology of </w:t>
      </w:r>
      <w:r w:rsidR="00E11ECF">
        <w:rPr>
          <w:sz w:val="22"/>
          <w:szCs w:val="22"/>
          <w:lang w:val="en-GB"/>
        </w:rPr>
        <w:t>t</w:t>
      </w:r>
      <w:r w:rsidRPr="00755161">
        <w:rPr>
          <w:sz w:val="22"/>
          <w:szCs w:val="22"/>
          <w:lang w:val="en-GB"/>
        </w:rPr>
        <w:t>ranslation and its ‘</w:t>
      </w:r>
      <w:r w:rsidR="00E11ECF">
        <w:rPr>
          <w:sz w:val="22"/>
          <w:szCs w:val="22"/>
          <w:lang w:val="en-GB"/>
        </w:rPr>
        <w:t>a</w:t>
      </w:r>
      <w:r w:rsidRPr="00755161">
        <w:rPr>
          <w:sz w:val="22"/>
          <w:szCs w:val="22"/>
          <w:lang w:val="en-GB"/>
        </w:rPr>
        <w:t xml:space="preserve">ctivist </w:t>
      </w:r>
      <w:r w:rsidR="00E11ECF">
        <w:rPr>
          <w:sz w:val="22"/>
          <w:szCs w:val="22"/>
          <w:lang w:val="en-GB"/>
        </w:rPr>
        <w:t>t</w:t>
      </w:r>
      <w:r w:rsidRPr="00755161">
        <w:rPr>
          <w:sz w:val="22"/>
          <w:szCs w:val="22"/>
          <w:lang w:val="en-GB"/>
        </w:rPr>
        <w:t xml:space="preserve">urn’. </w:t>
      </w:r>
      <w:r w:rsidRPr="00755161">
        <w:rPr>
          <w:i/>
          <w:iCs/>
          <w:sz w:val="22"/>
          <w:szCs w:val="22"/>
          <w:lang w:val="en-GB"/>
        </w:rPr>
        <w:t>Translation and Interpreting Studies</w:t>
      </w:r>
      <w:r w:rsidRPr="00755161">
        <w:rPr>
          <w:sz w:val="22"/>
          <w:szCs w:val="22"/>
          <w:lang w:val="en-GB"/>
        </w:rPr>
        <w:t xml:space="preserve"> 7(2)</w:t>
      </w:r>
      <w:r w:rsidR="00CB3110">
        <w:rPr>
          <w:sz w:val="22"/>
          <w:szCs w:val="22"/>
          <w:lang w:val="en-GB"/>
        </w:rPr>
        <w:t>:</w:t>
      </w:r>
      <w:r w:rsidRPr="00755161">
        <w:rPr>
          <w:sz w:val="22"/>
          <w:szCs w:val="22"/>
          <w:lang w:val="en-GB"/>
        </w:rPr>
        <w:t xml:space="preserve"> 129</w:t>
      </w:r>
      <w:r w:rsidR="00D87B28">
        <w:rPr>
          <w:sz w:val="22"/>
          <w:szCs w:val="22"/>
          <w:lang w:val="en-GB"/>
        </w:rPr>
        <w:t>–</w:t>
      </w:r>
      <w:r w:rsidRPr="00755161">
        <w:rPr>
          <w:sz w:val="22"/>
          <w:szCs w:val="22"/>
          <w:lang w:val="en-GB"/>
        </w:rPr>
        <w:t>143.</w:t>
      </w:r>
    </w:p>
    <w:p w14:paraId="3BB59321" w14:textId="2F29655B" w:rsidR="005025C7" w:rsidRPr="00446924" w:rsidRDefault="00954BAD" w:rsidP="00755F5C">
      <w:pPr>
        <w:spacing w:after="160"/>
        <w:ind w:left="709" w:hanging="720"/>
        <w:jc w:val="both"/>
        <w:rPr>
          <w:sz w:val="22"/>
          <w:szCs w:val="22"/>
          <w:lang w:val="en-GB"/>
        </w:rPr>
      </w:pPr>
      <w:r w:rsidRPr="00755161">
        <w:rPr>
          <w:sz w:val="22"/>
          <w:szCs w:val="22"/>
          <w:lang w:val="en-GB"/>
        </w:rPr>
        <w:t xml:space="preserve">Yin, </w:t>
      </w:r>
      <w:r w:rsidR="00B56310" w:rsidRPr="00755161">
        <w:rPr>
          <w:sz w:val="22"/>
          <w:szCs w:val="22"/>
          <w:lang w:val="en-GB"/>
        </w:rPr>
        <w:t>Robert</w:t>
      </w:r>
      <w:r w:rsidRPr="00755161">
        <w:rPr>
          <w:sz w:val="22"/>
          <w:szCs w:val="22"/>
          <w:lang w:val="en-GB"/>
        </w:rPr>
        <w:t xml:space="preserve">. 2003. </w:t>
      </w:r>
      <w:r w:rsidRPr="00755161">
        <w:rPr>
          <w:i/>
          <w:iCs/>
          <w:sz w:val="22"/>
          <w:szCs w:val="22"/>
          <w:lang w:val="en-GB"/>
        </w:rPr>
        <w:t>Case study research: Design and methods</w:t>
      </w:r>
      <w:r w:rsidRPr="00755161">
        <w:rPr>
          <w:sz w:val="22"/>
          <w:szCs w:val="22"/>
          <w:lang w:val="en-GB"/>
        </w:rPr>
        <w:t>. Thousand Oaks, CA: Sage.</w:t>
      </w:r>
    </w:p>
    <w:p w14:paraId="76863466" w14:textId="5CC9FD03" w:rsidR="00C97B55" w:rsidRPr="00BE142F" w:rsidRDefault="00744C39" w:rsidP="00914154">
      <w:pPr>
        <w:pStyle w:val="Podtitul"/>
        <w:keepNext/>
        <w:spacing w:before="560"/>
        <w:jc w:val="both"/>
        <w:rPr>
          <w:b w:val="0"/>
          <w:bCs w:val="0"/>
          <w:i/>
          <w:iCs/>
          <w:sz w:val="22"/>
          <w:szCs w:val="22"/>
          <w:lang w:val="en-GB"/>
        </w:rPr>
      </w:pPr>
      <w:r>
        <w:rPr>
          <w:b w:val="0"/>
          <w:bCs w:val="0"/>
          <w:i/>
          <w:iCs/>
          <w:sz w:val="22"/>
          <w:szCs w:val="22"/>
          <w:lang w:val="en-GB"/>
        </w:rPr>
        <w:lastRenderedPageBreak/>
        <w:t>Hossein Bahri</w:t>
      </w:r>
      <w:r w:rsidR="00FD7DC8">
        <w:rPr>
          <w:b w:val="0"/>
          <w:bCs w:val="0"/>
          <w:i/>
          <w:iCs/>
          <w:sz w:val="22"/>
          <w:szCs w:val="22"/>
          <w:lang w:val="en-GB"/>
        </w:rPr>
        <w:t xml:space="preserve"> (corresponding author)</w:t>
      </w:r>
    </w:p>
    <w:p w14:paraId="15953607" w14:textId="77777777" w:rsidR="00C97B55" w:rsidRPr="00BE142F" w:rsidRDefault="00744C39" w:rsidP="00914154">
      <w:pPr>
        <w:pStyle w:val="Podtitul"/>
        <w:keepNext/>
        <w:jc w:val="both"/>
        <w:rPr>
          <w:b w:val="0"/>
          <w:bCs w:val="0"/>
          <w:i/>
          <w:iCs/>
          <w:sz w:val="22"/>
          <w:szCs w:val="22"/>
          <w:lang w:val="en-GB"/>
        </w:rPr>
      </w:pPr>
      <w:r w:rsidRPr="00744C39">
        <w:rPr>
          <w:b w:val="0"/>
          <w:bCs w:val="0"/>
          <w:i/>
          <w:iCs/>
          <w:sz w:val="22"/>
          <w:szCs w:val="22"/>
          <w:lang w:val="en-GB"/>
        </w:rPr>
        <w:t>Department of Foreign Languages</w:t>
      </w:r>
    </w:p>
    <w:p w14:paraId="18465F85" w14:textId="77777777" w:rsidR="006407FD" w:rsidRDefault="006407FD" w:rsidP="00914154">
      <w:pPr>
        <w:pStyle w:val="Podtitul"/>
        <w:keepNext/>
        <w:jc w:val="both"/>
        <w:rPr>
          <w:b w:val="0"/>
          <w:bCs w:val="0"/>
          <w:i/>
          <w:iCs/>
          <w:sz w:val="22"/>
          <w:szCs w:val="22"/>
          <w:lang w:val="en-GB"/>
        </w:rPr>
      </w:pPr>
      <w:r>
        <w:rPr>
          <w:b w:val="0"/>
          <w:bCs w:val="0"/>
          <w:i/>
          <w:iCs/>
          <w:sz w:val="22"/>
          <w:szCs w:val="22"/>
          <w:lang w:val="en-GB"/>
        </w:rPr>
        <w:t>Faculty of Literature and Humanities</w:t>
      </w:r>
    </w:p>
    <w:p w14:paraId="5ECB34E6" w14:textId="77777777" w:rsidR="00C97B55" w:rsidRPr="00BE142F" w:rsidRDefault="00744C39" w:rsidP="00914154">
      <w:pPr>
        <w:pStyle w:val="Podtitul"/>
        <w:keepNext/>
        <w:jc w:val="both"/>
        <w:rPr>
          <w:b w:val="0"/>
          <w:bCs w:val="0"/>
          <w:i/>
          <w:iCs/>
          <w:sz w:val="22"/>
          <w:szCs w:val="22"/>
          <w:lang w:val="en-GB"/>
        </w:rPr>
      </w:pPr>
      <w:proofErr w:type="spellStart"/>
      <w:r w:rsidRPr="00744C39">
        <w:rPr>
          <w:b w:val="0"/>
          <w:bCs w:val="0"/>
          <w:i/>
          <w:iCs/>
          <w:sz w:val="22"/>
          <w:szCs w:val="22"/>
          <w:lang w:val="en-GB"/>
        </w:rPr>
        <w:t>Kharazmi</w:t>
      </w:r>
      <w:proofErr w:type="spellEnd"/>
      <w:r w:rsidRPr="00744C39">
        <w:rPr>
          <w:b w:val="0"/>
          <w:bCs w:val="0"/>
          <w:i/>
          <w:iCs/>
          <w:sz w:val="22"/>
          <w:szCs w:val="22"/>
          <w:lang w:val="en-GB"/>
        </w:rPr>
        <w:t xml:space="preserve"> University</w:t>
      </w:r>
    </w:p>
    <w:p w14:paraId="34B9559D" w14:textId="77777777" w:rsidR="00FD7DC8" w:rsidRDefault="00FD7DC8" w:rsidP="00914154">
      <w:pPr>
        <w:pStyle w:val="Podtitul"/>
        <w:keepNext/>
        <w:jc w:val="both"/>
        <w:rPr>
          <w:b w:val="0"/>
          <w:bCs w:val="0"/>
          <w:i/>
          <w:iCs/>
          <w:sz w:val="22"/>
          <w:szCs w:val="22"/>
          <w:lang w:val="en-GB"/>
        </w:rPr>
      </w:pPr>
      <w:r w:rsidRPr="00FD7DC8">
        <w:rPr>
          <w:b w:val="0"/>
          <w:bCs w:val="0"/>
          <w:i/>
          <w:iCs/>
          <w:sz w:val="22"/>
          <w:szCs w:val="22"/>
          <w:lang w:val="en-GB"/>
        </w:rPr>
        <w:t xml:space="preserve">No. 49, South </w:t>
      </w:r>
      <w:proofErr w:type="spellStart"/>
      <w:r w:rsidRPr="00FD7DC8">
        <w:rPr>
          <w:b w:val="0"/>
          <w:bCs w:val="0"/>
          <w:i/>
          <w:iCs/>
          <w:sz w:val="22"/>
          <w:szCs w:val="22"/>
          <w:lang w:val="en-GB"/>
        </w:rPr>
        <w:t>Mofateh</w:t>
      </w:r>
      <w:proofErr w:type="spellEnd"/>
      <w:r w:rsidRPr="00FD7DC8">
        <w:rPr>
          <w:b w:val="0"/>
          <w:bCs w:val="0"/>
          <w:i/>
          <w:iCs/>
          <w:sz w:val="22"/>
          <w:szCs w:val="22"/>
          <w:lang w:val="en-GB"/>
        </w:rPr>
        <w:t xml:space="preserve"> Ave.</w:t>
      </w:r>
    </w:p>
    <w:p w14:paraId="45163DC1" w14:textId="77777777" w:rsidR="00C97B55" w:rsidRDefault="00FD7DC8" w:rsidP="00914154">
      <w:pPr>
        <w:pStyle w:val="Podtitul"/>
        <w:keepNext/>
        <w:jc w:val="both"/>
        <w:rPr>
          <w:b w:val="0"/>
          <w:bCs w:val="0"/>
          <w:i/>
          <w:iCs/>
          <w:sz w:val="22"/>
          <w:szCs w:val="22"/>
          <w:lang w:val="de-AT"/>
        </w:rPr>
      </w:pPr>
      <w:r w:rsidRPr="006656A1">
        <w:rPr>
          <w:b w:val="0"/>
          <w:bCs w:val="0"/>
          <w:i/>
          <w:iCs/>
          <w:sz w:val="22"/>
          <w:szCs w:val="22"/>
          <w:lang w:val="de-AT"/>
        </w:rPr>
        <w:t xml:space="preserve">15719-14911, </w:t>
      </w:r>
      <w:proofErr w:type="spellStart"/>
      <w:r w:rsidR="00744C39" w:rsidRPr="006656A1">
        <w:rPr>
          <w:b w:val="0"/>
          <w:bCs w:val="0"/>
          <w:i/>
          <w:iCs/>
          <w:sz w:val="22"/>
          <w:szCs w:val="22"/>
          <w:lang w:val="de-AT"/>
        </w:rPr>
        <w:t>Tehran</w:t>
      </w:r>
      <w:proofErr w:type="spellEnd"/>
      <w:r w:rsidR="00744C39" w:rsidRPr="006656A1">
        <w:rPr>
          <w:b w:val="0"/>
          <w:bCs w:val="0"/>
          <w:i/>
          <w:iCs/>
          <w:sz w:val="22"/>
          <w:szCs w:val="22"/>
          <w:lang w:val="de-AT"/>
        </w:rPr>
        <w:t>, Iran</w:t>
      </w:r>
    </w:p>
    <w:p w14:paraId="57EFE5C3" w14:textId="57DC5F02" w:rsidR="00744C39" w:rsidRPr="006656A1" w:rsidRDefault="00E173D8" w:rsidP="00914154">
      <w:pPr>
        <w:pStyle w:val="Podtitul"/>
        <w:keepNext/>
        <w:jc w:val="both"/>
        <w:rPr>
          <w:b w:val="0"/>
          <w:bCs w:val="0"/>
          <w:i/>
          <w:iCs/>
          <w:sz w:val="22"/>
          <w:szCs w:val="22"/>
          <w:lang w:val="de-AT"/>
        </w:rPr>
      </w:pPr>
      <w:r>
        <w:rPr>
          <w:b w:val="0"/>
          <w:bCs w:val="0"/>
          <w:i/>
          <w:iCs/>
          <w:sz w:val="22"/>
          <w:szCs w:val="22"/>
          <w:lang w:val="de-AT"/>
        </w:rPr>
        <w:t xml:space="preserve">E-Mail: </w:t>
      </w:r>
      <w:hyperlink r:id="rId12" w:history="1">
        <w:r w:rsidR="009A2FED" w:rsidRPr="000F5045">
          <w:rPr>
            <w:rStyle w:val="Hypertextovprepojenie"/>
            <w:b w:val="0"/>
            <w:bCs w:val="0"/>
            <w:i/>
            <w:iCs/>
            <w:sz w:val="22"/>
            <w:szCs w:val="22"/>
            <w:lang w:val="de-AT"/>
          </w:rPr>
          <w:t>hbahri@khu.ac.ir</w:t>
        </w:r>
      </w:hyperlink>
    </w:p>
    <w:p w14:paraId="294E49D3" w14:textId="77777777" w:rsidR="00C97B55" w:rsidRDefault="007E52CA" w:rsidP="00446924">
      <w:pPr>
        <w:pStyle w:val="Podtitul"/>
        <w:spacing w:before="560"/>
        <w:jc w:val="both"/>
        <w:rPr>
          <w:b w:val="0"/>
          <w:bCs w:val="0"/>
          <w:i/>
          <w:iCs/>
          <w:sz w:val="22"/>
          <w:szCs w:val="22"/>
          <w:lang w:val="en-GB"/>
        </w:rPr>
      </w:pPr>
      <w:r w:rsidRPr="007E52CA">
        <w:rPr>
          <w:b w:val="0"/>
          <w:bCs w:val="0"/>
          <w:i/>
          <w:iCs/>
          <w:sz w:val="22"/>
          <w:szCs w:val="22"/>
          <w:lang w:val="en-GB"/>
        </w:rPr>
        <w:t>Mahvash Gholami</w:t>
      </w:r>
    </w:p>
    <w:p w14:paraId="3B72FCBE" w14:textId="77777777" w:rsidR="007E52CA" w:rsidRPr="007E52CA" w:rsidRDefault="007E52CA" w:rsidP="007E52CA">
      <w:pPr>
        <w:jc w:val="both"/>
        <w:rPr>
          <w:i/>
          <w:iCs/>
          <w:sz w:val="22"/>
          <w:szCs w:val="22"/>
          <w:lang w:val="en-GB"/>
        </w:rPr>
      </w:pPr>
      <w:r w:rsidRPr="007E52CA">
        <w:rPr>
          <w:i/>
          <w:iCs/>
          <w:sz w:val="22"/>
          <w:szCs w:val="22"/>
          <w:lang w:val="en-GB"/>
        </w:rPr>
        <w:t>Department of Foreign Languages</w:t>
      </w:r>
    </w:p>
    <w:p w14:paraId="4556DDBD" w14:textId="77777777" w:rsidR="006407FD" w:rsidRDefault="006407FD" w:rsidP="007E52CA">
      <w:pPr>
        <w:jc w:val="both"/>
        <w:rPr>
          <w:i/>
          <w:iCs/>
          <w:sz w:val="22"/>
          <w:szCs w:val="22"/>
          <w:lang w:val="en-GB"/>
        </w:rPr>
      </w:pPr>
      <w:r w:rsidRPr="006407FD">
        <w:rPr>
          <w:i/>
          <w:iCs/>
          <w:sz w:val="22"/>
          <w:szCs w:val="22"/>
          <w:lang w:val="en-GB"/>
        </w:rPr>
        <w:t>Faculty of Literature and Humanities</w:t>
      </w:r>
    </w:p>
    <w:p w14:paraId="308577E6" w14:textId="77777777" w:rsidR="007E52CA" w:rsidRPr="007E52CA" w:rsidRDefault="007E52CA" w:rsidP="007E52CA">
      <w:pPr>
        <w:jc w:val="both"/>
        <w:rPr>
          <w:i/>
          <w:iCs/>
          <w:sz w:val="22"/>
          <w:szCs w:val="22"/>
          <w:lang w:val="en-GB"/>
        </w:rPr>
      </w:pPr>
      <w:proofErr w:type="spellStart"/>
      <w:r w:rsidRPr="007E52CA">
        <w:rPr>
          <w:i/>
          <w:iCs/>
          <w:sz w:val="22"/>
          <w:szCs w:val="22"/>
          <w:lang w:val="en-GB"/>
        </w:rPr>
        <w:t>Kharazmi</w:t>
      </w:r>
      <w:proofErr w:type="spellEnd"/>
      <w:r w:rsidRPr="007E52CA">
        <w:rPr>
          <w:i/>
          <w:iCs/>
          <w:sz w:val="22"/>
          <w:szCs w:val="22"/>
          <w:lang w:val="en-GB"/>
        </w:rPr>
        <w:t xml:space="preserve"> University</w:t>
      </w:r>
    </w:p>
    <w:p w14:paraId="0B557D09" w14:textId="77777777" w:rsidR="00022F04" w:rsidRPr="00022F04" w:rsidRDefault="00022F04" w:rsidP="00022F04">
      <w:pPr>
        <w:rPr>
          <w:i/>
          <w:iCs/>
          <w:sz w:val="22"/>
          <w:szCs w:val="22"/>
          <w:lang w:val="en-GB"/>
        </w:rPr>
      </w:pPr>
      <w:r w:rsidRPr="00022F04">
        <w:rPr>
          <w:i/>
          <w:iCs/>
          <w:sz w:val="22"/>
          <w:szCs w:val="22"/>
          <w:lang w:val="en-GB"/>
        </w:rPr>
        <w:t xml:space="preserve">No. 49, South </w:t>
      </w:r>
      <w:proofErr w:type="spellStart"/>
      <w:r w:rsidRPr="00022F04">
        <w:rPr>
          <w:i/>
          <w:iCs/>
          <w:sz w:val="22"/>
          <w:szCs w:val="22"/>
          <w:lang w:val="en-GB"/>
        </w:rPr>
        <w:t>Mofateh</w:t>
      </w:r>
      <w:proofErr w:type="spellEnd"/>
      <w:r w:rsidRPr="00022F04">
        <w:rPr>
          <w:i/>
          <w:iCs/>
          <w:sz w:val="22"/>
          <w:szCs w:val="22"/>
          <w:lang w:val="en-GB"/>
        </w:rPr>
        <w:t xml:space="preserve"> Ave.</w:t>
      </w:r>
    </w:p>
    <w:p w14:paraId="47D37A90" w14:textId="77777777" w:rsidR="00E173D8" w:rsidRDefault="00022F04" w:rsidP="00022F04">
      <w:pPr>
        <w:jc w:val="both"/>
        <w:rPr>
          <w:i/>
          <w:iCs/>
          <w:sz w:val="22"/>
          <w:szCs w:val="22"/>
          <w:lang w:val="en-GB"/>
        </w:rPr>
      </w:pPr>
      <w:r w:rsidRPr="00022F04">
        <w:rPr>
          <w:i/>
          <w:iCs/>
          <w:sz w:val="22"/>
          <w:szCs w:val="22"/>
          <w:lang w:val="en-GB"/>
        </w:rPr>
        <w:t>15719-14911, Tehran, Iran</w:t>
      </w:r>
    </w:p>
    <w:p w14:paraId="466B86B0" w14:textId="1F7F93F6" w:rsidR="007E52CA" w:rsidRPr="00E173D8" w:rsidRDefault="00E173D8" w:rsidP="005025C7">
      <w:pPr>
        <w:jc w:val="both"/>
        <w:rPr>
          <w:rStyle w:val="Hypertextovprepojenie"/>
          <w:i/>
          <w:iCs/>
          <w:sz w:val="22"/>
          <w:szCs w:val="22"/>
          <w:lang w:val="de-AT"/>
        </w:rPr>
      </w:pPr>
      <w:r w:rsidRPr="00E173D8">
        <w:rPr>
          <w:i/>
          <w:iCs/>
          <w:sz w:val="22"/>
          <w:szCs w:val="22"/>
          <w:lang w:val="de-AT"/>
        </w:rPr>
        <w:t xml:space="preserve">E-Mail: </w:t>
      </w:r>
      <w:hyperlink r:id="rId13" w:history="1">
        <w:r w:rsidR="008C4544" w:rsidRPr="00E173D8">
          <w:rPr>
            <w:rStyle w:val="Hypertextovprepojenie"/>
            <w:i/>
            <w:iCs/>
            <w:sz w:val="22"/>
            <w:szCs w:val="22"/>
            <w:lang w:val="de-AT"/>
          </w:rPr>
          <w:t>mahvashgholami@khu.ac.ir</w:t>
        </w:r>
      </w:hyperlink>
    </w:p>
    <w:p w14:paraId="327479F8" w14:textId="3977E394" w:rsidR="003F3281" w:rsidRPr="00E173D8" w:rsidRDefault="003F3281">
      <w:pPr>
        <w:rPr>
          <w:rStyle w:val="Hypertextovprepojenie"/>
          <w:i/>
          <w:iCs/>
          <w:sz w:val="22"/>
          <w:szCs w:val="22"/>
          <w:lang w:val="de-AT"/>
        </w:rPr>
      </w:pPr>
      <w:r w:rsidRPr="00E173D8">
        <w:rPr>
          <w:rStyle w:val="Hypertextovprepojenie"/>
          <w:i/>
          <w:iCs/>
          <w:sz w:val="22"/>
          <w:szCs w:val="22"/>
          <w:lang w:val="de-AT"/>
        </w:rPr>
        <w:br w:type="page"/>
      </w:r>
    </w:p>
    <w:p w14:paraId="47627F5B" w14:textId="5B73519D" w:rsidR="003F3281" w:rsidRPr="003F3281" w:rsidRDefault="003F3281" w:rsidP="003F3281">
      <w:pPr>
        <w:pStyle w:val="Nadpis1"/>
        <w:spacing w:before="560" w:after="280"/>
        <w:rPr>
          <w:b w:val="0"/>
          <w:bCs w:val="0"/>
          <w:lang w:eastAsia="en-GB"/>
        </w:rPr>
      </w:pPr>
      <w:r>
        <w:rPr>
          <w:noProof/>
          <w:lang w:val="sk-SK" w:eastAsia="sk-SK"/>
        </w:rPr>
        <w:lastRenderedPageBreak/>
        <w:drawing>
          <wp:anchor distT="0" distB="0" distL="114300" distR="114300" simplePos="0" relativeHeight="251666432" behindDoc="0" locked="0" layoutInCell="1" allowOverlap="1" wp14:anchorId="6CBEEEA7" wp14:editId="720ECC13">
            <wp:simplePos x="0" y="0"/>
            <wp:positionH relativeFrom="margin">
              <wp:align>center</wp:align>
            </wp:positionH>
            <wp:positionV relativeFrom="paragraph">
              <wp:posOffset>720090</wp:posOffset>
            </wp:positionV>
            <wp:extent cx="5090400" cy="5220000"/>
            <wp:effectExtent l="0" t="0" r="0" b="0"/>
            <wp:wrapTopAndBottom/>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0400" cy="522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7EF">
        <w:t>Appendix</w:t>
      </w:r>
      <w:r>
        <w:t xml:space="preserve">: </w:t>
      </w:r>
      <w:r w:rsidRPr="00351D6C">
        <w:rPr>
          <w:b w:val="0"/>
          <w:bCs w:val="0"/>
          <w:lang w:eastAsia="en-GB"/>
        </w:rPr>
        <w:t>Tentative map of postgraduate research on the sociology of translation in Iran (2009-2022)</w:t>
      </w:r>
    </w:p>
    <w:sectPr w:rsidR="003F3281" w:rsidRPr="003F3281" w:rsidSect="00B1305F">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2268" w:left="1440" w:header="709" w:footer="709" w:gutter="0"/>
      <w:pgNumType w:start="8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D2438F" w14:textId="77777777" w:rsidR="006E1393" w:rsidRDefault="006E1393" w:rsidP="00B07CFB">
      <w:r>
        <w:separator/>
      </w:r>
    </w:p>
  </w:endnote>
  <w:endnote w:type="continuationSeparator" w:id="0">
    <w:p w14:paraId="3C763AEA" w14:textId="77777777" w:rsidR="006E1393" w:rsidRDefault="006E1393" w:rsidP="00B0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4025146"/>
      <w:docPartObj>
        <w:docPartGallery w:val="Page Numbers (Bottom of Page)"/>
        <w:docPartUnique/>
      </w:docPartObj>
    </w:sdtPr>
    <w:sdtEndPr>
      <w:rPr>
        <w:noProof/>
      </w:rPr>
    </w:sdtEndPr>
    <w:sdtContent>
      <w:p w14:paraId="0BCAB0E8" w14:textId="57636995" w:rsidR="00B07CFB" w:rsidRDefault="00B07CFB">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05224201" w14:textId="77777777" w:rsidR="00B07CFB" w:rsidRDefault="00B07CF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691353"/>
      <w:docPartObj>
        <w:docPartGallery w:val="Page Numbers (Bottom of Page)"/>
        <w:docPartUnique/>
      </w:docPartObj>
    </w:sdtPr>
    <w:sdtEndPr>
      <w:rPr>
        <w:noProof/>
      </w:rPr>
    </w:sdtEndPr>
    <w:sdtContent>
      <w:p w14:paraId="0B328230" w14:textId="61308DDE" w:rsidR="00B07CFB" w:rsidRDefault="00B07CFB">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6F29FD8B" w14:textId="77777777" w:rsidR="00B07CFB" w:rsidRDefault="00B07CF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2243781"/>
      <w:docPartObj>
        <w:docPartGallery w:val="Page Numbers (Bottom of Page)"/>
        <w:docPartUnique/>
      </w:docPartObj>
    </w:sdtPr>
    <w:sdtEndPr>
      <w:rPr>
        <w:noProof/>
      </w:rPr>
    </w:sdtEndPr>
    <w:sdtContent>
      <w:p w14:paraId="0915918E" w14:textId="14799CCF" w:rsidR="00B07CFB" w:rsidRDefault="00B07CFB" w:rsidP="00B1305F">
        <w:pPr>
          <w:pStyle w:val="Pta"/>
          <w:tabs>
            <w:tab w:val="left" w:pos="6521"/>
          </w:tabs>
          <w:jc w:val="right"/>
        </w:pPr>
        <w:r>
          <w:fldChar w:fldCharType="begin"/>
        </w:r>
        <w:r>
          <w:instrText xml:space="preserve"> PAGE   \* MERGEFORMAT </w:instrText>
        </w:r>
        <w:r>
          <w:fldChar w:fldCharType="separate"/>
        </w:r>
        <w:r>
          <w:rPr>
            <w:noProof/>
          </w:rPr>
          <w:t>2</w:t>
        </w:r>
        <w:r>
          <w:rPr>
            <w:noProof/>
          </w:rPr>
          <w:fldChar w:fldCharType="end"/>
        </w:r>
      </w:p>
    </w:sdtContent>
  </w:sdt>
  <w:p w14:paraId="7F2A32D9" w14:textId="77777777" w:rsidR="00B07CFB" w:rsidRDefault="00B07C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A7E24" w14:textId="77777777" w:rsidR="006E1393" w:rsidRDefault="006E1393" w:rsidP="00B07CFB">
      <w:r>
        <w:separator/>
      </w:r>
    </w:p>
  </w:footnote>
  <w:footnote w:type="continuationSeparator" w:id="0">
    <w:p w14:paraId="647C3FC6" w14:textId="77777777" w:rsidR="006E1393" w:rsidRDefault="006E1393" w:rsidP="00B0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0F90B" w14:textId="2EF2D80F" w:rsidR="00B07CFB" w:rsidRDefault="00B07CFB">
    <w:pPr>
      <w:pStyle w:val="Hlavika"/>
    </w:pPr>
    <w:r w:rsidRPr="00967A2D">
      <w:rPr>
        <w:rFonts w:ascii="Times" w:hAnsi="Times"/>
        <w:bCs/>
        <w:i/>
        <w:color w:val="000000" w:themeColor="text1"/>
        <w:sz w:val="20"/>
        <w:szCs w:val="18"/>
        <w:lang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460F7" w14:textId="68FFA4EE" w:rsidR="00B07CFB" w:rsidRPr="00B07CFB" w:rsidRDefault="00B07CFB" w:rsidP="00B07CFB">
    <w:pPr>
      <w:pStyle w:val="Hlavika"/>
      <w:jc w:val="right"/>
      <w:rPr>
        <w:i/>
        <w:iCs/>
        <w:sz w:val="20"/>
        <w:szCs w:val="20"/>
      </w:rPr>
    </w:pPr>
    <w:r w:rsidRPr="00B07CFB">
      <w:rPr>
        <w:i/>
        <w:iCs/>
        <w:sz w:val="20"/>
        <w:szCs w:val="20"/>
      </w:rPr>
      <w:t>Hossein Bahri and Mahvash Gholami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B209F" w14:textId="54FBA5CC" w:rsidR="00B07CFB" w:rsidRDefault="00B07CFB" w:rsidP="00B07CFB">
    <w:pPr>
      <w:pStyle w:val="Hlavika"/>
      <w:rPr>
        <w:rFonts w:ascii="Times" w:hAnsi="Times"/>
        <w:bCs/>
        <w:iCs/>
        <w:color w:val="000000" w:themeColor="text1"/>
        <w:sz w:val="20"/>
        <w:szCs w:val="18"/>
        <w:lang w:eastAsia="en-GB"/>
      </w:rPr>
    </w:pPr>
    <w:r w:rsidRPr="00967A2D">
      <w:rPr>
        <w:rFonts w:ascii="Times" w:hAnsi="Times"/>
        <w:bCs/>
        <w:i/>
        <w:color w:val="000000" w:themeColor="text1"/>
        <w:sz w:val="20"/>
        <w:szCs w:val="18"/>
        <w:lang w:eastAsia="en-GB"/>
      </w:rPr>
      <w:t xml:space="preserve">SKASE Journal of Translation and </w:t>
    </w:r>
    <w:proofErr w:type="spellStart"/>
    <w:r w:rsidRPr="00967A2D">
      <w:rPr>
        <w:rFonts w:ascii="Times" w:hAnsi="Times"/>
        <w:bCs/>
        <w:i/>
        <w:color w:val="000000" w:themeColor="text1"/>
        <w:sz w:val="20"/>
        <w:szCs w:val="18"/>
        <w:lang w:eastAsia="en-GB"/>
      </w:rPr>
      <w:t>Interpretation</w:t>
    </w:r>
    <w:proofErr w:type="spellEnd"/>
    <w:r>
      <w:rPr>
        <w:rFonts w:ascii="Times" w:hAnsi="Times"/>
        <w:bCs/>
        <w:iCs/>
        <w:color w:val="000000" w:themeColor="text1"/>
        <w:sz w:val="20"/>
        <w:szCs w:val="18"/>
        <w:lang w:eastAsia="en-GB"/>
      </w:rPr>
      <w:t>, 2024; 17(1): 8</w:t>
    </w:r>
    <w:r w:rsidR="00B1305F">
      <w:rPr>
        <w:rFonts w:ascii="Times" w:hAnsi="Times"/>
        <w:bCs/>
        <w:iCs/>
        <w:color w:val="000000" w:themeColor="text1"/>
        <w:sz w:val="20"/>
        <w:szCs w:val="18"/>
        <w:lang w:eastAsia="en-GB"/>
      </w:rPr>
      <w:t>7</w:t>
    </w:r>
    <w:r w:rsidRPr="00687229">
      <w:rPr>
        <w:bCs/>
        <w:iCs/>
        <w:color w:val="000000" w:themeColor="text1"/>
        <w:sz w:val="20"/>
        <w:szCs w:val="18"/>
      </w:rPr>
      <w:t>–</w:t>
    </w:r>
    <w:r>
      <w:rPr>
        <w:rFonts w:ascii="Times" w:hAnsi="Times"/>
        <w:bCs/>
        <w:iCs/>
        <w:color w:val="000000" w:themeColor="text1"/>
        <w:sz w:val="20"/>
        <w:szCs w:val="18"/>
        <w:lang w:eastAsia="en-GB"/>
      </w:rPr>
      <w:t>10</w:t>
    </w:r>
    <w:r w:rsidR="00B1305F">
      <w:rPr>
        <w:rFonts w:ascii="Times" w:hAnsi="Times"/>
        <w:bCs/>
        <w:iCs/>
        <w:color w:val="000000" w:themeColor="text1"/>
        <w:sz w:val="20"/>
        <w:szCs w:val="18"/>
        <w:lang w:eastAsia="en-GB"/>
      </w:rPr>
      <w:t>3</w:t>
    </w:r>
  </w:p>
  <w:p w14:paraId="143F3241" w14:textId="789C4C82" w:rsidR="00B07CFB" w:rsidRDefault="00B07CFB" w:rsidP="00B07CFB">
    <w:pPr>
      <w:pStyle w:val="Hlavika"/>
      <w:rPr>
        <w:rFonts w:ascii="Times" w:hAnsi="Times"/>
        <w:bCs/>
        <w:iCs/>
        <w:color w:val="000000" w:themeColor="text1"/>
        <w:sz w:val="20"/>
        <w:szCs w:val="18"/>
        <w:lang w:eastAsia="en-GB"/>
      </w:rPr>
    </w:pPr>
    <w:r>
      <w:rPr>
        <w:rFonts w:ascii="Times" w:hAnsi="Times"/>
        <w:bCs/>
        <w:iCs/>
        <w:color w:val="000000" w:themeColor="text1"/>
        <w:sz w:val="20"/>
        <w:szCs w:val="18"/>
        <w:lang w:eastAsia="en-GB"/>
      </w:rPr>
      <w:t xml:space="preserve">doi: </w:t>
    </w:r>
    <w:r w:rsidRPr="00B07CFB">
      <w:rPr>
        <w:rFonts w:ascii="Times" w:hAnsi="Times"/>
        <w:bCs/>
        <w:iCs/>
        <w:color w:val="000000" w:themeColor="text1"/>
        <w:sz w:val="20"/>
        <w:szCs w:val="18"/>
        <w:lang w:eastAsia="en-GB"/>
      </w:rPr>
      <w:t>10.33542/JTI2024-1-5</w:t>
    </w:r>
  </w:p>
  <w:p w14:paraId="4F62AFA0" w14:textId="77777777" w:rsidR="00B07CFB" w:rsidRDefault="00B07C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4565CE"/>
    <w:multiLevelType w:val="hybridMultilevel"/>
    <w:tmpl w:val="643CC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BA2020B"/>
    <w:multiLevelType w:val="multilevel"/>
    <w:tmpl w:val="7E8E9F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num w:numId="1" w16cid:durableId="2128040179">
    <w:abstractNumId w:val="1"/>
  </w:num>
  <w:num w:numId="2" w16cid:durableId="174981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evenAndOddHeader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3MDMyMTK3MDQ2NzdW0lEKTi0uzszPAykwrAUAe/o9oSwAAAA="/>
  </w:docVars>
  <w:rsids>
    <w:rsidRoot w:val="00C1730E"/>
    <w:rsid w:val="00022F04"/>
    <w:rsid w:val="0002491C"/>
    <w:rsid w:val="000256FE"/>
    <w:rsid w:val="00026D93"/>
    <w:rsid w:val="00042E81"/>
    <w:rsid w:val="00044370"/>
    <w:rsid w:val="00047964"/>
    <w:rsid w:val="00065406"/>
    <w:rsid w:val="00065530"/>
    <w:rsid w:val="00073311"/>
    <w:rsid w:val="0007336B"/>
    <w:rsid w:val="000910B2"/>
    <w:rsid w:val="000B17F2"/>
    <w:rsid w:val="000C56BF"/>
    <w:rsid w:val="000D1D3F"/>
    <w:rsid w:val="000D2965"/>
    <w:rsid w:val="000D2DBE"/>
    <w:rsid w:val="000E0582"/>
    <w:rsid w:val="000E6494"/>
    <w:rsid w:val="000F79DD"/>
    <w:rsid w:val="000F7B1A"/>
    <w:rsid w:val="00104057"/>
    <w:rsid w:val="001117F7"/>
    <w:rsid w:val="00112789"/>
    <w:rsid w:val="00123570"/>
    <w:rsid w:val="00123CBC"/>
    <w:rsid w:val="00131781"/>
    <w:rsid w:val="001369DB"/>
    <w:rsid w:val="0014201D"/>
    <w:rsid w:val="00143446"/>
    <w:rsid w:val="0015768C"/>
    <w:rsid w:val="00164A57"/>
    <w:rsid w:val="00170686"/>
    <w:rsid w:val="00173839"/>
    <w:rsid w:val="001833C2"/>
    <w:rsid w:val="00191947"/>
    <w:rsid w:val="001B00B4"/>
    <w:rsid w:val="001B32F0"/>
    <w:rsid w:val="001B4EC4"/>
    <w:rsid w:val="001C7998"/>
    <w:rsid w:val="001E6777"/>
    <w:rsid w:val="001F0783"/>
    <w:rsid w:val="001F3E5B"/>
    <w:rsid w:val="001F7B1F"/>
    <w:rsid w:val="00200D43"/>
    <w:rsid w:val="00204C9E"/>
    <w:rsid w:val="002071AE"/>
    <w:rsid w:val="002113D5"/>
    <w:rsid w:val="00216C9A"/>
    <w:rsid w:val="002210B5"/>
    <w:rsid w:val="00222A09"/>
    <w:rsid w:val="002377FF"/>
    <w:rsid w:val="0024203B"/>
    <w:rsid w:val="0026211E"/>
    <w:rsid w:val="0027172B"/>
    <w:rsid w:val="002717EE"/>
    <w:rsid w:val="00273054"/>
    <w:rsid w:val="00287546"/>
    <w:rsid w:val="002B6AD8"/>
    <w:rsid w:val="002C3368"/>
    <w:rsid w:val="002D0FCC"/>
    <w:rsid w:val="002D290A"/>
    <w:rsid w:val="002F7AE7"/>
    <w:rsid w:val="00307C5F"/>
    <w:rsid w:val="0033732E"/>
    <w:rsid w:val="00341330"/>
    <w:rsid w:val="0034492D"/>
    <w:rsid w:val="00347F8A"/>
    <w:rsid w:val="00351D6C"/>
    <w:rsid w:val="0035691A"/>
    <w:rsid w:val="00364FC8"/>
    <w:rsid w:val="0037452A"/>
    <w:rsid w:val="003748BF"/>
    <w:rsid w:val="003837EF"/>
    <w:rsid w:val="0038414D"/>
    <w:rsid w:val="00385A20"/>
    <w:rsid w:val="003A178E"/>
    <w:rsid w:val="003A3FAA"/>
    <w:rsid w:val="003A48BD"/>
    <w:rsid w:val="003B46CA"/>
    <w:rsid w:val="003B4FEB"/>
    <w:rsid w:val="003B799F"/>
    <w:rsid w:val="003C1777"/>
    <w:rsid w:val="003D5412"/>
    <w:rsid w:val="003E1FF4"/>
    <w:rsid w:val="003E5C46"/>
    <w:rsid w:val="003F0426"/>
    <w:rsid w:val="003F1181"/>
    <w:rsid w:val="003F23F2"/>
    <w:rsid w:val="003F3281"/>
    <w:rsid w:val="004164CA"/>
    <w:rsid w:val="00424F1B"/>
    <w:rsid w:val="004263E6"/>
    <w:rsid w:val="00430D80"/>
    <w:rsid w:val="004342E2"/>
    <w:rsid w:val="00444478"/>
    <w:rsid w:val="00445219"/>
    <w:rsid w:val="00446924"/>
    <w:rsid w:val="00472344"/>
    <w:rsid w:val="004924F6"/>
    <w:rsid w:val="004A79C2"/>
    <w:rsid w:val="004B48A7"/>
    <w:rsid w:val="004D26B7"/>
    <w:rsid w:val="004D4AEA"/>
    <w:rsid w:val="004E769B"/>
    <w:rsid w:val="004F3A73"/>
    <w:rsid w:val="005025C7"/>
    <w:rsid w:val="00503444"/>
    <w:rsid w:val="00505754"/>
    <w:rsid w:val="00535E0F"/>
    <w:rsid w:val="005376BF"/>
    <w:rsid w:val="0054533C"/>
    <w:rsid w:val="00551F5E"/>
    <w:rsid w:val="0055242E"/>
    <w:rsid w:val="00552BE0"/>
    <w:rsid w:val="005531E6"/>
    <w:rsid w:val="00554D83"/>
    <w:rsid w:val="005666AD"/>
    <w:rsid w:val="00573F5D"/>
    <w:rsid w:val="005759C0"/>
    <w:rsid w:val="00576A9B"/>
    <w:rsid w:val="00585336"/>
    <w:rsid w:val="00585FEE"/>
    <w:rsid w:val="005B5399"/>
    <w:rsid w:val="005E167C"/>
    <w:rsid w:val="005E1C42"/>
    <w:rsid w:val="005E1CF5"/>
    <w:rsid w:val="005E3689"/>
    <w:rsid w:val="005F2BDC"/>
    <w:rsid w:val="005F7ECD"/>
    <w:rsid w:val="00615C1F"/>
    <w:rsid w:val="0061625E"/>
    <w:rsid w:val="00616E08"/>
    <w:rsid w:val="00620473"/>
    <w:rsid w:val="006324DD"/>
    <w:rsid w:val="00637D84"/>
    <w:rsid w:val="006407FD"/>
    <w:rsid w:val="00645B1B"/>
    <w:rsid w:val="006656A1"/>
    <w:rsid w:val="00671F25"/>
    <w:rsid w:val="0067312D"/>
    <w:rsid w:val="00677C85"/>
    <w:rsid w:val="006870FF"/>
    <w:rsid w:val="0069035A"/>
    <w:rsid w:val="006A11CB"/>
    <w:rsid w:val="006C58EB"/>
    <w:rsid w:val="006C6489"/>
    <w:rsid w:val="006C6D8B"/>
    <w:rsid w:val="006E1393"/>
    <w:rsid w:val="006E50EF"/>
    <w:rsid w:val="00714392"/>
    <w:rsid w:val="00722DD8"/>
    <w:rsid w:val="00723C37"/>
    <w:rsid w:val="007253CA"/>
    <w:rsid w:val="00725A3D"/>
    <w:rsid w:val="00725D76"/>
    <w:rsid w:val="00733808"/>
    <w:rsid w:val="00744C39"/>
    <w:rsid w:val="00746115"/>
    <w:rsid w:val="0075077F"/>
    <w:rsid w:val="00755161"/>
    <w:rsid w:val="00755F5C"/>
    <w:rsid w:val="00785C5E"/>
    <w:rsid w:val="0078676B"/>
    <w:rsid w:val="007915C3"/>
    <w:rsid w:val="007955C7"/>
    <w:rsid w:val="007A4C00"/>
    <w:rsid w:val="007C4C17"/>
    <w:rsid w:val="007D277F"/>
    <w:rsid w:val="007E52CA"/>
    <w:rsid w:val="007F4FA1"/>
    <w:rsid w:val="007F79EE"/>
    <w:rsid w:val="0080421F"/>
    <w:rsid w:val="00814560"/>
    <w:rsid w:val="008268A2"/>
    <w:rsid w:val="008302DF"/>
    <w:rsid w:val="0083188B"/>
    <w:rsid w:val="00841890"/>
    <w:rsid w:val="00873310"/>
    <w:rsid w:val="00886DB6"/>
    <w:rsid w:val="008956D4"/>
    <w:rsid w:val="00897EDA"/>
    <w:rsid w:val="008A4D6F"/>
    <w:rsid w:val="008A5B2B"/>
    <w:rsid w:val="008A7F4E"/>
    <w:rsid w:val="008B6FF7"/>
    <w:rsid w:val="008C4544"/>
    <w:rsid w:val="008C4C4B"/>
    <w:rsid w:val="008C6216"/>
    <w:rsid w:val="008C7B3E"/>
    <w:rsid w:val="008F42E3"/>
    <w:rsid w:val="00914154"/>
    <w:rsid w:val="00917DE7"/>
    <w:rsid w:val="00921FC3"/>
    <w:rsid w:val="00926A87"/>
    <w:rsid w:val="00927FC7"/>
    <w:rsid w:val="0093010A"/>
    <w:rsid w:val="00930146"/>
    <w:rsid w:val="0093442E"/>
    <w:rsid w:val="009413AF"/>
    <w:rsid w:val="009425E6"/>
    <w:rsid w:val="00943374"/>
    <w:rsid w:val="00954BAD"/>
    <w:rsid w:val="009652D7"/>
    <w:rsid w:val="00965863"/>
    <w:rsid w:val="00984602"/>
    <w:rsid w:val="009877DE"/>
    <w:rsid w:val="00990BE4"/>
    <w:rsid w:val="009A2FED"/>
    <w:rsid w:val="009A7ABC"/>
    <w:rsid w:val="009B3DB4"/>
    <w:rsid w:val="009C4AAA"/>
    <w:rsid w:val="009D045C"/>
    <w:rsid w:val="009D2AF2"/>
    <w:rsid w:val="009D627F"/>
    <w:rsid w:val="009D7A4D"/>
    <w:rsid w:val="009E7A8E"/>
    <w:rsid w:val="009F3EB9"/>
    <w:rsid w:val="009F6583"/>
    <w:rsid w:val="009F6A6B"/>
    <w:rsid w:val="00A001B9"/>
    <w:rsid w:val="00A06918"/>
    <w:rsid w:val="00A14108"/>
    <w:rsid w:val="00A164C7"/>
    <w:rsid w:val="00A23545"/>
    <w:rsid w:val="00A304EB"/>
    <w:rsid w:val="00A40F63"/>
    <w:rsid w:val="00A43D37"/>
    <w:rsid w:val="00A50A04"/>
    <w:rsid w:val="00A647C2"/>
    <w:rsid w:val="00A70D68"/>
    <w:rsid w:val="00A73F4E"/>
    <w:rsid w:val="00A74128"/>
    <w:rsid w:val="00A85CE7"/>
    <w:rsid w:val="00AA048C"/>
    <w:rsid w:val="00AA3F24"/>
    <w:rsid w:val="00AA53A0"/>
    <w:rsid w:val="00AA574E"/>
    <w:rsid w:val="00AA6369"/>
    <w:rsid w:val="00AB248C"/>
    <w:rsid w:val="00AB2609"/>
    <w:rsid w:val="00AC2CA6"/>
    <w:rsid w:val="00AD4832"/>
    <w:rsid w:val="00AD4CF3"/>
    <w:rsid w:val="00AD7E3B"/>
    <w:rsid w:val="00AE0EAC"/>
    <w:rsid w:val="00AE46E5"/>
    <w:rsid w:val="00AF435A"/>
    <w:rsid w:val="00AF4F3F"/>
    <w:rsid w:val="00B00276"/>
    <w:rsid w:val="00B05233"/>
    <w:rsid w:val="00B07CFB"/>
    <w:rsid w:val="00B1305F"/>
    <w:rsid w:val="00B2700E"/>
    <w:rsid w:val="00B42B9B"/>
    <w:rsid w:val="00B56310"/>
    <w:rsid w:val="00B61D6F"/>
    <w:rsid w:val="00B62FE9"/>
    <w:rsid w:val="00B64451"/>
    <w:rsid w:val="00B716FD"/>
    <w:rsid w:val="00B76228"/>
    <w:rsid w:val="00B81C8C"/>
    <w:rsid w:val="00BA2260"/>
    <w:rsid w:val="00BA2AD5"/>
    <w:rsid w:val="00BA4A7C"/>
    <w:rsid w:val="00BA54E1"/>
    <w:rsid w:val="00BB5503"/>
    <w:rsid w:val="00BC613E"/>
    <w:rsid w:val="00BE142F"/>
    <w:rsid w:val="00BF0C9E"/>
    <w:rsid w:val="00C06F44"/>
    <w:rsid w:val="00C1730E"/>
    <w:rsid w:val="00C262BA"/>
    <w:rsid w:val="00C37ABC"/>
    <w:rsid w:val="00C37EEE"/>
    <w:rsid w:val="00C53027"/>
    <w:rsid w:val="00C61319"/>
    <w:rsid w:val="00C657A2"/>
    <w:rsid w:val="00C73F18"/>
    <w:rsid w:val="00C91AA0"/>
    <w:rsid w:val="00C97B55"/>
    <w:rsid w:val="00CA7544"/>
    <w:rsid w:val="00CA7AA9"/>
    <w:rsid w:val="00CB3110"/>
    <w:rsid w:val="00CC0B39"/>
    <w:rsid w:val="00CC5409"/>
    <w:rsid w:val="00CE70AA"/>
    <w:rsid w:val="00CF645E"/>
    <w:rsid w:val="00D13887"/>
    <w:rsid w:val="00D23617"/>
    <w:rsid w:val="00D24BE6"/>
    <w:rsid w:val="00D26E0C"/>
    <w:rsid w:val="00D364F5"/>
    <w:rsid w:val="00D404D3"/>
    <w:rsid w:val="00D4176D"/>
    <w:rsid w:val="00D519A7"/>
    <w:rsid w:val="00D55BA4"/>
    <w:rsid w:val="00D55F66"/>
    <w:rsid w:val="00D61BEF"/>
    <w:rsid w:val="00D629B0"/>
    <w:rsid w:val="00D62D8F"/>
    <w:rsid w:val="00D743BB"/>
    <w:rsid w:val="00D74A79"/>
    <w:rsid w:val="00D82167"/>
    <w:rsid w:val="00D86780"/>
    <w:rsid w:val="00D87B28"/>
    <w:rsid w:val="00DA1E59"/>
    <w:rsid w:val="00DA4ABB"/>
    <w:rsid w:val="00DA5A95"/>
    <w:rsid w:val="00DB3CF4"/>
    <w:rsid w:val="00DC3B9C"/>
    <w:rsid w:val="00DC62B0"/>
    <w:rsid w:val="00DD0953"/>
    <w:rsid w:val="00DD4C54"/>
    <w:rsid w:val="00DF280D"/>
    <w:rsid w:val="00E02F2B"/>
    <w:rsid w:val="00E11ECF"/>
    <w:rsid w:val="00E14BD4"/>
    <w:rsid w:val="00E163EF"/>
    <w:rsid w:val="00E173D8"/>
    <w:rsid w:val="00E2509E"/>
    <w:rsid w:val="00E3604C"/>
    <w:rsid w:val="00E409DE"/>
    <w:rsid w:val="00E62B50"/>
    <w:rsid w:val="00E65885"/>
    <w:rsid w:val="00E93FA4"/>
    <w:rsid w:val="00EA1689"/>
    <w:rsid w:val="00EA22B8"/>
    <w:rsid w:val="00EA31FD"/>
    <w:rsid w:val="00EB3B6E"/>
    <w:rsid w:val="00EC2C75"/>
    <w:rsid w:val="00EC5071"/>
    <w:rsid w:val="00EC6E3C"/>
    <w:rsid w:val="00ED3D82"/>
    <w:rsid w:val="00EF70F9"/>
    <w:rsid w:val="00F15814"/>
    <w:rsid w:val="00F32188"/>
    <w:rsid w:val="00F4000F"/>
    <w:rsid w:val="00F431A3"/>
    <w:rsid w:val="00F57800"/>
    <w:rsid w:val="00F7250D"/>
    <w:rsid w:val="00F77E32"/>
    <w:rsid w:val="00F81914"/>
    <w:rsid w:val="00F84831"/>
    <w:rsid w:val="00F94598"/>
    <w:rsid w:val="00FC38BE"/>
    <w:rsid w:val="00FC7B70"/>
    <w:rsid w:val="00FD1CC1"/>
    <w:rsid w:val="00FD7DC8"/>
    <w:rsid w:val="00FE0B67"/>
    <w:rsid w:val="00FE4850"/>
    <w:rsid w:val="00FF50CB"/>
    <w:rsid w:val="00FF58C8"/>
    <w:rsid w:val="00FF61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34F8F2"/>
  <w14:defaultImageDpi w14:val="0"/>
  <w15:docId w15:val="{8B4C6DDF-2E43-7541-A100-C42AD329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52CA"/>
    <w:rPr>
      <w:rFonts w:ascii="Times New Roman" w:hAnsi="Times New Roman"/>
      <w:sz w:val="24"/>
      <w:szCs w:val="24"/>
      <w:lang w:val="cs-CZ" w:eastAsia="cs-CZ"/>
    </w:rPr>
  </w:style>
  <w:style w:type="paragraph" w:styleId="Nadpis1">
    <w:name w:val="heading 1"/>
    <w:basedOn w:val="Podtitul"/>
    <w:next w:val="Normlny"/>
    <w:link w:val="Nadpis1Char"/>
    <w:uiPriority w:val="9"/>
    <w:qFormat/>
    <w:rsid w:val="00BE142F"/>
    <w:pPr>
      <w:keepNext/>
      <w:spacing w:before="360" w:after="360"/>
      <w:jc w:val="left"/>
      <w:outlineLvl w:val="0"/>
    </w:pPr>
    <w:rPr>
      <w:lang w:val="en-GB"/>
    </w:rPr>
  </w:style>
  <w:style w:type="paragraph" w:styleId="Nadpis2">
    <w:name w:val="heading 2"/>
    <w:basedOn w:val="Nadpis1"/>
    <w:next w:val="Normlny"/>
    <w:link w:val="Nadpis2Char"/>
    <w:uiPriority w:val="9"/>
    <w:unhideWhenUsed/>
    <w:qFormat/>
    <w:rsid w:val="00BE142F"/>
    <w:pPr>
      <w:outlineLvl w:val="1"/>
    </w:pPr>
    <w:rPr>
      <w:b w:val="0"/>
      <w:i/>
    </w:rPr>
  </w:style>
  <w:style w:type="paragraph" w:styleId="Nadpis3">
    <w:name w:val="heading 3"/>
    <w:basedOn w:val="Podtitul"/>
    <w:next w:val="Normlny"/>
    <w:link w:val="Nadpis3Char"/>
    <w:uiPriority w:val="9"/>
    <w:unhideWhenUsed/>
    <w:qFormat/>
    <w:rsid w:val="00BE142F"/>
    <w:pPr>
      <w:keepNext/>
      <w:spacing w:before="360"/>
      <w:jc w:val="both"/>
      <w:outlineLvl w:val="2"/>
    </w:pPr>
    <w:rPr>
      <w:b w:val="0"/>
      <w:bCs w:val="0"/>
      <w:i/>
      <w:iCs/>
      <w:lang w:val="en-GB"/>
    </w:rPr>
  </w:style>
  <w:style w:type="paragraph" w:styleId="Nadpis4">
    <w:name w:val="heading 4"/>
    <w:basedOn w:val="Podtitul"/>
    <w:next w:val="Normlny"/>
    <w:link w:val="Nadpis4Char"/>
    <w:uiPriority w:val="9"/>
    <w:unhideWhenUsed/>
    <w:qFormat/>
    <w:rsid w:val="00BE142F"/>
    <w:pPr>
      <w:jc w:val="both"/>
      <w:outlineLvl w:val="3"/>
    </w:pPr>
    <w:rPr>
      <w:b w:val="0"/>
      <w:bCs w:val="0"/>
      <w:i/>
      <w:iCs/>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BE142F"/>
    <w:rPr>
      <w:rFonts w:ascii="Times New Roman" w:hAnsi="Times New Roman" w:cs="Times New Roman"/>
      <w:b/>
      <w:bCs/>
      <w:sz w:val="24"/>
      <w:szCs w:val="24"/>
      <w:lang w:val="en-GB" w:eastAsia="cs-CZ"/>
    </w:rPr>
  </w:style>
  <w:style w:type="character" w:customStyle="1" w:styleId="Nadpis2Char">
    <w:name w:val="Nadpis 2 Char"/>
    <w:link w:val="Nadpis2"/>
    <w:uiPriority w:val="9"/>
    <w:locked/>
    <w:rsid w:val="00BE142F"/>
    <w:rPr>
      <w:rFonts w:ascii="Times New Roman" w:hAnsi="Times New Roman" w:cs="Times New Roman"/>
      <w:bCs/>
      <w:i/>
      <w:sz w:val="24"/>
      <w:szCs w:val="24"/>
      <w:lang w:val="en-GB" w:eastAsia="cs-CZ"/>
    </w:rPr>
  </w:style>
  <w:style w:type="character" w:customStyle="1" w:styleId="Nadpis3Char">
    <w:name w:val="Nadpis 3 Char"/>
    <w:link w:val="Nadpis3"/>
    <w:uiPriority w:val="9"/>
    <w:locked/>
    <w:rsid w:val="00BE142F"/>
    <w:rPr>
      <w:rFonts w:ascii="Times New Roman" w:hAnsi="Times New Roman" w:cs="Times New Roman"/>
      <w:i/>
      <w:iCs/>
      <w:sz w:val="24"/>
      <w:szCs w:val="24"/>
      <w:lang w:val="en-GB" w:eastAsia="cs-CZ"/>
    </w:rPr>
  </w:style>
  <w:style w:type="character" w:customStyle="1" w:styleId="Nadpis4Char">
    <w:name w:val="Nadpis 4 Char"/>
    <w:link w:val="Nadpis4"/>
    <w:uiPriority w:val="9"/>
    <w:locked/>
    <w:rsid w:val="00BE142F"/>
    <w:rPr>
      <w:rFonts w:ascii="Times New Roman" w:hAnsi="Times New Roman" w:cs="Times New Roman"/>
      <w:i/>
      <w:iCs/>
      <w:sz w:val="24"/>
      <w:szCs w:val="24"/>
      <w:lang w:val="en-GB" w:eastAsia="cs-CZ"/>
    </w:rPr>
  </w:style>
  <w:style w:type="paragraph" w:customStyle="1" w:styleId="abstract">
    <w:name w:val="abstract"/>
    <w:basedOn w:val="Podtitul"/>
    <w:link w:val="abstractChar"/>
    <w:qFormat/>
    <w:rsid w:val="00BE142F"/>
    <w:pPr>
      <w:ind w:left="709" w:right="709"/>
      <w:jc w:val="both"/>
    </w:pPr>
    <w:rPr>
      <w:b w:val="0"/>
      <w:bCs w:val="0"/>
      <w:i/>
      <w:iCs/>
      <w:sz w:val="22"/>
      <w:szCs w:val="22"/>
      <w:lang w:val="en-GB"/>
    </w:rPr>
  </w:style>
  <w:style w:type="character" w:customStyle="1" w:styleId="abstractChar">
    <w:name w:val="abstract Char"/>
    <w:link w:val="abstract"/>
    <w:locked/>
    <w:rsid w:val="00BE142F"/>
    <w:rPr>
      <w:rFonts w:ascii="Times New Roman" w:eastAsia="Times New Roman" w:hAnsi="Times New Roman" w:cs="Times New Roman"/>
      <w:i/>
      <w:iCs/>
      <w:sz w:val="24"/>
      <w:szCs w:val="24"/>
      <w:lang w:val="en-GB" w:eastAsia="cs-CZ"/>
    </w:rPr>
  </w:style>
  <w:style w:type="paragraph" w:styleId="Nzov">
    <w:name w:val="Title"/>
    <w:basedOn w:val="Normlny"/>
    <w:link w:val="NzovChar"/>
    <w:uiPriority w:val="99"/>
    <w:qFormat/>
    <w:rsid w:val="00BE142F"/>
    <w:pPr>
      <w:jc w:val="center"/>
    </w:pPr>
    <w:rPr>
      <w:b/>
      <w:bCs/>
      <w:sz w:val="28"/>
      <w:szCs w:val="28"/>
      <w:lang w:val="en-GB"/>
    </w:rPr>
  </w:style>
  <w:style w:type="character" w:customStyle="1" w:styleId="NzovChar">
    <w:name w:val="Názov Char"/>
    <w:link w:val="Nzov"/>
    <w:uiPriority w:val="99"/>
    <w:locked/>
    <w:rsid w:val="00BE142F"/>
    <w:rPr>
      <w:rFonts w:ascii="Times New Roman" w:hAnsi="Times New Roman" w:cs="Times New Roman"/>
      <w:b/>
      <w:bCs/>
      <w:sz w:val="28"/>
      <w:szCs w:val="28"/>
      <w:lang w:val="en-GB" w:eastAsia="cs-CZ"/>
    </w:rPr>
  </w:style>
  <w:style w:type="paragraph" w:styleId="Podtitul">
    <w:name w:val="Subtitle"/>
    <w:basedOn w:val="Normlny"/>
    <w:link w:val="PodtitulChar"/>
    <w:uiPriority w:val="99"/>
    <w:qFormat/>
    <w:pPr>
      <w:jc w:val="center"/>
    </w:pPr>
    <w:rPr>
      <w:b/>
      <w:bCs/>
      <w:lang w:val="en-US"/>
    </w:rPr>
  </w:style>
  <w:style w:type="character" w:customStyle="1" w:styleId="PodtitulChar">
    <w:name w:val="Podtitul Char"/>
    <w:link w:val="Podtitul"/>
    <w:uiPriority w:val="11"/>
    <w:locked/>
    <w:rPr>
      <w:rFonts w:ascii="Calibri Light" w:eastAsia="Times New Roman" w:hAnsi="Calibri Light" w:cs="Times New Roman"/>
      <w:sz w:val="24"/>
      <w:szCs w:val="24"/>
      <w:lang w:val="cs-CZ" w:eastAsia="cs-CZ"/>
    </w:rPr>
  </w:style>
  <w:style w:type="paragraph" w:customStyle="1" w:styleId="normal-predsun-okrzatvmedzera">
    <w:name w:val="normal-predsun-okrzatvmedzera"/>
    <w:basedOn w:val="Normlny"/>
    <w:uiPriority w:val="99"/>
    <w:pPr>
      <w:spacing w:before="100" w:beforeAutospacing="1" w:after="100" w:afterAutospacing="1"/>
    </w:pPr>
  </w:style>
  <w:style w:type="paragraph" w:customStyle="1" w:styleId="figures">
    <w:name w:val="figures"/>
    <w:basedOn w:val="Odsekzoznamu"/>
    <w:link w:val="figuresChar"/>
    <w:qFormat/>
    <w:rsid w:val="00BE142F"/>
    <w:pPr>
      <w:spacing w:before="60" w:after="120" w:line="360" w:lineRule="auto"/>
      <w:ind w:left="0"/>
      <w:jc w:val="center"/>
    </w:pPr>
    <w:rPr>
      <w:i/>
      <w:lang w:val="en-US" w:eastAsia="en-US"/>
    </w:rPr>
  </w:style>
  <w:style w:type="character" w:customStyle="1" w:styleId="figuresChar">
    <w:name w:val="figures Char"/>
    <w:link w:val="figures"/>
    <w:locked/>
    <w:rsid w:val="00BE142F"/>
    <w:rPr>
      <w:rFonts w:ascii="Times New Roman" w:hAnsi="Times New Roman"/>
      <w:i/>
      <w:sz w:val="24"/>
      <w:lang w:val="en-US" w:eastAsia="en-US"/>
    </w:rPr>
  </w:style>
  <w:style w:type="paragraph" w:styleId="Odsekzoznamu">
    <w:name w:val="List Paragraph"/>
    <w:basedOn w:val="Normlny"/>
    <w:uiPriority w:val="34"/>
    <w:qFormat/>
    <w:rsid w:val="00BE142F"/>
    <w:pPr>
      <w:ind w:left="708"/>
    </w:pPr>
  </w:style>
  <w:style w:type="table" w:styleId="Mriekatabuky">
    <w:name w:val="Table Grid"/>
    <w:basedOn w:val="Normlnatabuka"/>
    <w:uiPriority w:val="39"/>
    <w:rsid w:val="00A70D68"/>
    <w:rPr>
      <w:rFonts w:cs="Arial"/>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uiPriority w:val="59"/>
    <w:rsid w:val="006A11CB"/>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atabuka"/>
    <w:next w:val="Mriekatabuky"/>
    <w:uiPriority w:val="39"/>
    <w:rsid w:val="00ED3D82"/>
    <w:rPr>
      <w:rFonts w:cs="Arial"/>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atabuka"/>
    <w:next w:val="Mriekatabuky"/>
    <w:uiPriority w:val="39"/>
    <w:rsid w:val="009A7ABC"/>
    <w:rPr>
      <w:rFonts w:cs="Arial"/>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natabuka"/>
    <w:next w:val="Mriekatabuky"/>
    <w:uiPriority w:val="39"/>
    <w:rsid w:val="009A7ABC"/>
    <w:rPr>
      <w:rFonts w:cs="Arial"/>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atabuka"/>
    <w:next w:val="Mriekatabuky"/>
    <w:uiPriority w:val="39"/>
    <w:rsid w:val="00AF435A"/>
    <w:rPr>
      <w:rFonts w:cs="Arial"/>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uiPriority w:val="99"/>
    <w:unhideWhenUsed/>
    <w:rsid w:val="00744C39"/>
    <w:rPr>
      <w:rFonts w:cs="Times New Roman"/>
      <w:color w:val="0563C1"/>
      <w:u w:val="single"/>
    </w:rPr>
  </w:style>
  <w:style w:type="character" w:customStyle="1" w:styleId="UnresolvedMention1">
    <w:name w:val="Unresolved Mention1"/>
    <w:uiPriority w:val="99"/>
    <w:semiHidden/>
    <w:unhideWhenUsed/>
    <w:rsid w:val="00744C39"/>
    <w:rPr>
      <w:rFonts w:cs="Times New Roman"/>
      <w:color w:val="605E5C"/>
      <w:shd w:val="clear" w:color="auto" w:fill="E1DFDD"/>
    </w:rPr>
  </w:style>
  <w:style w:type="character" w:styleId="Odkaznakomentr">
    <w:name w:val="annotation reference"/>
    <w:basedOn w:val="Predvolenpsmoodseku"/>
    <w:uiPriority w:val="99"/>
    <w:semiHidden/>
    <w:unhideWhenUsed/>
    <w:rsid w:val="006656A1"/>
    <w:rPr>
      <w:sz w:val="16"/>
      <w:szCs w:val="16"/>
    </w:rPr>
  </w:style>
  <w:style w:type="paragraph" w:styleId="Textkomentra">
    <w:name w:val="annotation text"/>
    <w:basedOn w:val="Normlny"/>
    <w:link w:val="TextkomentraChar"/>
    <w:uiPriority w:val="99"/>
    <w:semiHidden/>
    <w:unhideWhenUsed/>
    <w:rsid w:val="006656A1"/>
    <w:rPr>
      <w:sz w:val="20"/>
      <w:szCs w:val="20"/>
    </w:rPr>
  </w:style>
  <w:style w:type="character" w:customStyle="1" w:styleId="TextkomentraChar">
    <w:name w:val="Text komentára Char"/>
    <w:basedOn w:val="Predvolenpsmoodseku"/>
    <w:link w:val="Textkomentra"/>
    <w:uiPriority w:val="99"/>
    <w:semiHidden/>
    <w:rsid w:val="006656A1"/>
    <w:rPr>
      <w:rFonts w:ascii="Times New Roman" w:hAnsi="Times New Roman"/>
      <w:lang w:val="cs-CZ" w:eastAsia="cs-CZ"/>
    </w:rPr>
  </w:style>
  <w:style w:type="paragraph" w:styleId="Predmetkomentra">
    <w:name w:val="annotation subject"/>
    <w:basedOn w:val="Textkomentra"/>
    <w:next w:val="Textkomentra"/>
    <w:link w:val="PredmetkomentraChar"/>
    <w:uiPriority w:val="99"/>
    <w:semiHidden/>
    <w:unhideWhenUsed/>
    <w:rsid w:val="006656A1"/>
    <w:rPr>
      <w:b/>
      <w:bCs/>
    </w:rPr>
  </w:style>
  <w:style w:type="character" w:customStyle="1" w:styleId="PredmetkomentraChar">
    <w:name w:val="Predmet komentára Char"/>
    <w:basedOn w:val="TextkomentraChar"/>
    <w:link w:val="Predmetkomentra"/>
    <w:uiPriority w:val="99"/>
    <w:semiHidden/>
    <w:rsid w:val="006656A1"/>
    <w:rPr>
      <w:rFonts w:ascii="Times New Roman" w:hAnsi="Times New Roman"/>
      <w:b/>
      <w:bCs/>
      <w:lang w:val="cs-CZ" w:eastAsia="cs-CZ"/>
    </w:rPr>
  </w:style>
  <w:style w:type="paragraph" w:styleId="Revzia">
    <w:name w:val="Revision"/>
    <w:hidden/>
    <w:uiPriority w:val="99"/>
    <w:semiHidden/>
    <w:rsid w:val="00B2700E"/>
    <w:rPr>
      <w:rFonts w:ascii="Times New Roman" w:hAnsi="Times New Roman"/>
      <w:sz w:val="24"/>
      <w:szCs w:val="24"/>
      <w:lang w:val="cs-CZ" w:eastAsia="cs-CZ"/>
    </w:rPr>
  </w:style>
  <w:style w:type="character" w:customStyle="1" w:styleId="fontstyle01">
    <w:name w:val="fontstyle01"/>
    <w:basedOn w:val="Predvolenpsmoodseku"/>
    <w:rsid w:val="000E0582"/>
    <w:rPr>
      <w:rFonts w:ascii="TimesNewRomanPSMT" w:hAnsi="TimesNewRomanPSMT" w:hint="default"/>
      <w:b w:val="0"/>
      <w:bCs w:val="0"/>
      <w:i w:val="0"/>
      <w:iCs w:val="0"/>
      <w:color w:val="000000"/>
      <w:sz w:val="24"/>
      <w:szCs w:val="24"/>
    </w:rPr>
  </w:style>
  <w:style w:type="paragraph" w:styleId="Textbubliny">
    <w:name w:val="Balloon Text"/>
    <w:basedOn w:val="Normlny"/>
    <w:link w:val="TextbublinyChar"/>
    <w:uiPriority w:val="99"/>
    <w:semiHidden/>
    <w:unhideWhenUsed/>
    <w:rsid w:val="00FF614E"/>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14E"/>
    <w:rPr>
      <w:rFonts w:ascii="Segoe UI" w:hAnsi="Segoe UI" w:cs="Segoe UI"/>
      <w:sz w:val="18"/>
      <w:szCs w:val="18"/>
      <w:lang w:val="cs-CZ" w:eastAsia="cs-CZ"/>
    </w:rPr>
  </w:style>
  <w:style w:type="character" w:customStyle="1" w:styleId="UnresolvedMention2">
    <w:name w:val="Unresolved Mention2"/>
    <w:basedOn w:val="Predvolenpsmoodseku"/>
    <w:uiPriority w:val="99"/>
    <w:semiHidden/>
    <w:unhideWhenUsed/>
    <w:rsid w:val="009A2FED"/>
    <w:rPr>
      <w:color w:val="605E5C"/>
      <w:shd w:val="clear" w:color="auto" w:fill="E1DFDD"/>
    </w:rPr>
  </w:style>
  <w:style w:type="paragraph" w:styleId="Hlavika">
    <w:name w:val="header"/>
    <w:basedOn w:val="Normlny"/>
    <w:link w:val="HlavikaChar"/>
    <w:unhideWhenUsed/>
    <w:rsid w:val="00B07CFB"/>
    <w:pPr>
      <w:tabs>
        <w:tab w:val="center" w:pos="4536"/>
        <w:tab w:val="right" w:pos="9072"/>
      </w:tabs>
    </w:pPr>
  </w:style>
  <w:style w:type="character" w:customStyle="1" w:styleId="HlavikaChar">
    <w:name w:val="Hlavička Char"/>
    <w:basedOn w:val="Predvolenpsmoodseku"/>
    <w:link w:val="Hlavika"/>
    <w:rsid w:val="00B07CFB"/>
    <w:rPr>
      <w:rFonts w:ascii="Times New Roman" w:hAnsi="Times New Roman"/>
      <w:sz w:val="24"/>
      <w:szCs w:val="24"/>
      <w:lang w:val="cs-CZ" w:eastAsia="cs-CZ"/>
    </w:rPr>
  </w:style>
  <w:style w:type="paragraph" w:styleId="Pta">
    <w:name w:val="footer"/>
    <w:basedOn w:val="Normlny"/>
    <w:link w:val="PtaChar"/>
    <w:uiPriority w:val="99"/>
    <w:unhideWhenUsed/>
    <w:rsid w:val="00B07CFB"/>
    <w:pPr>
      <w:tabs>
        <w:tab w:val="center" w:pos="4536"/>
        <w:tab w:val="right" w:pos="9072"/>
      </w:tabs>
    </w:pPr>
  </w:style>
  <w:style w:type="character" w:customStyle="1" w:styleId="PtaChar">
    <w:name w:val="Päta Char"/>
    <w:basedOn w:val="Predvolenpsmoodseku"/>
    <w:link w:val="Pta"/>
    <w:uiPriority w:val="99"/>
    <w:rsid w:val="00B07CFB"/>
    <w:rPr>
      <w:rFonts w:ascii="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257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mahvashgholami@khu.ac.i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bahri@khu.ac.i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386C-BFDB-476D-BA8C-C09536F7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6209</Words>
  <Characters>35397</Characters>
  <Application>Microsoft Office Word</Application>
  <DocSecurity>0</DocSecurity>
  <Lines>294</Lines>
  <Paragraphs>83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Title title title title title title title title title title title title title</vt:lpstr>
      <vt:lpstr>Title title title title title title title title title title title title title</vt:lpstr>
    </vt:vector>
  </TitlesOfParts>
  <Company/>
  <LinksUpToDate>false</LinksUpToDate>
  <CharactersWithSpaces>41523</CharactersWithSpaces>
  <SharedDoc>false</SharedDoc>
  <HLinks>
    <vt:vector size="12" baseType="variant">
      <vt:variant>
        <vt:i4>721023</vt:i4>
      </vt:variant>
      <vt:variant>
        <vt:i4>3</vt:i4>
      </vt:variant>
      <vt:variant>
        <vt:i4>0</vt:i4>
      </vt:variant>
      <vt:variant>
        <vt:i4>5</vt:i4>
      </vt:variant>
      <vt:variant>
        <vt:lpwstr>mailto:mahvashgholami@khu.ac.ir</vt:lpwstr>
      </vt:variant>
      <vt:variant>
        <vt:lpwstr/>
      </vt:variant>
      <vt:variant>
        <vt:i4>1376376</vt:i4>
      </vt:variant>
      <vt:variant>
        <vt:i4>0</vt:i4>
      </vt:variant>
      <vt:variant>
        <vt:i4>0</vt:i4>
      </vt:variant>
      <vt:variant>
        <vt:i4>5</vt:i4>
      </vt:variant>
      <vt:variant>
        <vt:lpwstr>mailto:hbahri@khu.ac.ir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title title title title title title title title title title title title</dc:title>
  <dc:subject/>
  <dc:creator>Microsoft Office User</dc:creator>
  <cp:keywords/>
  <dc:description/>
  <cp:lastModifiedBy>Mgr. Petra Filipová PhD.</cp:lastModifiedBy>
  <cp:revision>4</cp:revision>
  <cp:lastPrinted>2024-06-23T05:19:00Z</cp:lastPrinted>
  <dcterms:created xsi:type="dcterms:W3CDTF">2024-06-23T10:57:00Z</dcterms:created>
  <dcterms:modified xsi:type="dcterms:W3CDTF">2024-11-10T09:57:00Z</dcterms:modified>
</cp:coreProperties>
</file>